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San Isidro, febrero de 2023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Estimado Partícipe, 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queremos informarle que, con el objetivo de mejorar e innovar nuestra oferta de fondos mutuos, hemos decidido modificar el Prospecto Simplificado y del Anexo del Reglamento del fondo mutuo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BBVA DÓLARES FMIV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que se convertirá en el fondo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BBVA RENTA MEDIANO PLAZO DÓLARES FMIV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Adjuntamos detalle resumido de los cambios más relevantes que planeamos realizar: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0"/>
        <w:gridCol w:w="3880"/>
        <w:gridCol w:w="3880"/>
        <w:tblGridChange w:id="0">
          <w:tblGrid>
            <w:gridCol w:w="1570"/>
            <w:gridCol w:w="3880"/>
            <w:gridCol w:w="3880"/>
          </w:tblGrid>
        </w:tblGridChange>
      </w:tblGrid>
      <w:tr>
        <w:trPr>
          <w:cantSplit w:val="0"/>
          <w:trHeight w:val="15" w:hRule="atLeast"/>
          <w:tblHeader w:val="0"/>
        </w:trPr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Antes</w:t>
            </w:r>
          </w:p>
        </w:tc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Ahora</w:t>
            </w:r>
          </w:p>
        </w:tc>
      </w:tr>
      <w:tr>
        <w:trPr>
          <w:cantSplit w:val="1"/>
          <w:trHeight w:val="781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Denominación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4" w:firstLine="0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BBVA Dólares FMIV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" w:firstLine="0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BBVA Renta Mediano Plazo Dólares FMIV</w:t>
            </w:r>
          </w:p>
        </w:tc>
      </w:tr>
      <w:tr>
        <w:trPr>
          <w:cantSplit w:val="1"/>
          <w:trHeight w:val="781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Objetivo de inversión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164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(...)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left="106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 FONDO podrá invertir hasta el 100% del activo total en instrumentos representativos de deuda o pasivos como depósitos, papeles comerciales, letras del tesoro, certificados de depósito y/o bonos. El FONDO además podrá invertir hasta el 100% del activo total en cuotas de participación de fondos mutuos que inviertan en instrumentos representativos de deuda o pasivos y que sean administrados por entidades distintas a la sociedad administradora. Además, podrá invertir hasta el 100% del activo total en Exchange Traded Funds (ETFs) que inviertan en instrumentos representativos de deuda o pasivos.</w:t>
            </w:r>
          </w:p>
        </w:tc>
      </w:tr>
      <w:tr>
        <w:trPr>
          <w:cantSplit w:val="1"/>
          <w:trHeight w:val="781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Política de Inversiones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4" w:firstLine="0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4" w:hanging="164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La duración promedio es mayor a 360 días y hasta 1080 días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4" w:firstLine="0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302.0" w:type="dxa"/>
              <w:jc w:val="left"/>
              <w:tblInd w:w="106.0" w:type="dxa"/>
              <w:tblLayout w:type="fixed"/>
              <w:tblLook w:val="0000"/>
            </w:tblPr>
            <w:tblGrid>
              <w:gridCol w:w="2168"/>
              <w:gridCol w:w="567"/>
              <w:gridCol w:w="567"/>
              <w:tblGridChange w:id="0">
                <w:tblGrid>
                  <w:gridCol w:w="2168"/>
                  <w:gridCol w:w="567"/>
                  <w:gridCol w:w="567"/>
                </w:tblGrid>
              </w:tblGridChange>
            </w:tblGrid>
            <w:tr>
              <w:trPr>
                <w:cantSplit w:val="0"/>
                <w:trHeight w:val="283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10" w:lineRule="auto"/>
                    <w:ind w:left="49" w:firstLine="0"/>
                    <w:rPr>
                      <w:rFonts w:ascii="Arial" w:cs="Arial" w:eastAsia="Arial" w:hAnsi="Arial"/>
                      <w:b w:val="1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4"/>
                      <w:szCs w:val="14"/>
                      <w:rtl w:val="0"/>
                    </w:rPr>
                    <w:t xml:space="preserve">Según Clasificación de Riesgo Internacional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-12" w:right="3" w:firstLine="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4"/>
                      <w:szCs w:val="14"/>
                      <w:rtl w:val="0"/>
                    </w:rPr>
                    <w:t xml:space="preserve">%Min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-3" w:firstLine="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4"/>
                      <w:szCs w:val="14"/>
                      <w:rtl w:val="0"/>
                    </w:rPr>
                    <w:t xml:space="preserve">%Max</w:t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10" w:lineRule="auto"/>
                    <w:ind w:left="49" w:firstLine="0"/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  <w:rtl w:val="0"/>
                    </w:rPr>
                    <w:t xml:space="preserve">AAA hasta AA- en Largo Plazo y CP-1 en Corto Plazo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-12" w:right="3" w:firstLine="0"/>
                    <w:jc w:val="center"/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  <w:rtl w:val="0"/>
                    </w:rPr>
                    <w:t xml:space="preserve">0%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-3" w:firstLine="0"/>
                    <w:jc w:val="center"/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  <w:rtl w:val="0"/>
                    </w:rPr>
                    <w:t xml:space="preserve">100%</w:t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5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5" w:lineRule="auto"/>
                    <w:ind w:left="49" w:firstLine="0"/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  <w:rtl w:val="0"/>
                    </w:rPr>
                    <w:t xml:space="preserve">A+ hasta A- en Largo Plazo y CP-3 en Corto Plazo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5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-12" w:right="3" w:firstLine="0"/>
                    <w:jc w:val="center"/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  <w:rtl w:val="0"/>
                    </w:rPr>
                    <w:t xml:space="preserve">0%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5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-3" w:firstLine="0"/>
                    <w:jc w:val="center"/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  <w:rtl w:val="0"/>
                    </w:rPr>
                    <w:t xml:space="preserve">75%</w:t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49" w:firstLine="0"/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  <w:rtl w:val="0"/>
                    </w:rPr>
                    <w:t xml:space="preserve">BBB+ hasta BB- en Largo Plazo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-12" w:right="3" w:firstLine="0"/>
                    <w:jc w:val="center"/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  <w:rtl w:val="0"/>
                    </w:rPr>
                    <w:t xml:space="preserve">0%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-3" w:firstLine="0"/>
                    <w:jc w:val="center"/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  <w:rtl w:val="0"/>
                    </w:rPr>
                    <w:t xml:space="preserve">50%</w:t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" w:firstLine="0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" w:hanging="164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La duración promedio podrá ir desde un (1) año hasta tres (3) años.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" w:firstLine="0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302.0" w:type="dxa"/>
              <w:jc w:val="left"/>
              <w:tblInd w:w="106.0" w:type="dxa"/>
              <w:tblLayout w:type="fixed"/>
              <w:tblLook w:val="0000"/>
            </w:tblPr>
            <w:tblGrid>
              <w:gridCol w:w="2168"/>
              <w:gridCol w:w="567"/>
              <w:gridCol w:w="567"/>
              <w:tblGridChange w:id="0">
                <w:tblGrid>
                  <w:gridCol w:w="2168"/>
                  <w:gridCol w:w="567"/>
                  <w:gridCol w:w="567"/>
                </w:tblGrid>
              </w:tblGridChange>
            </w:tblGrid>
            <w:tr>
              <w:trPr>
                <w:cantSplit w:val="0"/>
                <w:trHeight w:val="283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2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10" w:lineRule="auto"/>
                    <w:ind w:left="49" w:firstLine="0"/>
                    <w:rPr>
                      <w:rFonts w:ascii="Arial" w:cs="Arial" w:eastAsia="Arial" w:hAnsi="Arial"/>
                      <w:b w:val="1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4"/>
                      <w:szCs w:val="14"/>
                      <w:rtl w:val="0"/>
                    </w:rPr>
                    <w:t xml:space="preserve">Según Clasificación de Riesgo Internacional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2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-12" w:right="3" w:firstLine="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4"/>
                      <w:szCs w:val="14"/>
                      <w:rtl w:val="0"/>
                    </w:rPr>
                    <w:t xml:space="preserve">%Min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2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-3" w:firstLine="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4"/>
                      <w:szCs w:val="14"/>
                      <w:rtl w:val="0"/>
                    </w:rPr>
                    <w:t xml:space="preserve">%Max</w:t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10" w:lineRule="auto"/>
                    <w:ind w:left="49" w:firstLine="0"/>
                    <w:rPr>
                      <w:rFonts w:ascii="Arial" w:cs="Arial" w:eastAsia="Arial" w:hAnsi="Arial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4"/>
                      <w:szCs w:val="14"/>
                      <w:rtl w:val="0"/>
                    </w:rPr>
                    <w:t xml:space="preserve">Categoría AAA hasta AA- en Largo Plazo y CP-1 en Corto Plazo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-12" w:right="3" w:firstLine="0"/>
                    <w:jc w:val="center"/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  <w:rtl w:val="0"/>
                    </w:rPr>
                    <w:t xml:space="preserve">0%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-3" w:firstLine="0"/>
                    <w:jc w:val="center"/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  <w:rtl w:val="0"/>
                    </w:rPr>
                    <w:t xml:space="preserve">100%</w:t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5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5" w:lineRule="auto"/>
                    <w:ind w:left="49" w:firstLine="0"/>
                    <w:rPr>
                      <w:rFonts w:ascii="Arial" w:cs="Arial" w:eastAsia="Arial" w:hAnsi="Arial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4"/>
                      <w:szCs w:val="14"/>
                      <w:rtl w:val="0"/>
                    </w:rPr>
                    <w:t xml:space="preserve">Categoría A+ hasta BBB- en Largo Plazo y CP-2 en Corto Plazo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5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-12" w:right="3" w:firstLine="0"/>
                    <w:jc w:val="center"/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  <w:rtl w:val="0"/>
                    </w:rPr>
                    <w:t xml:space="preserve">0%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5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-3" w:firstLine="0"/>
                    <w:jc w:val="center"/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  <w:rtl w:val="0"/>
                    </w:rPr>
                    <w:t xml:space="preserve">100%</w:t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49" w:firstLine="0"/>
                    <w:rPr>
                      <w:rFonts w:ascii="Arial" w:cs="Arial" w:eastAsia="Arial" w:hAnsi="Arial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4"/>
                      <w:szCs w:val="14"/>
                      <w:rtl w:val="0"/>
                    </w:rPr>
                    <w:t xml:space="preserve">Categoría BB+ hasta BB- en Largo Plazo y CP-3 en Corto Plazo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-12" w:right="3" w:firstLine="0"/>
                    <w:jc w:val="center"/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  <w:rtl w:val="0"/>
                    </w:rPr>
                    <w:t xml:space="preserve">0%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before="7" w:lineRule="auto"/>
                    <w:ind w:left="-3" w:firstLine="0"/>
                    <w:jc w:val="center"/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4"/>
                      <w:szCs w:val="14"/>
                      <w:rtl w:val="0"/>
                    </w:rPr>
                    <w:t xml:space="preserve">50%</w:t>
                  </w:r>
                </w:p>
              </w:tc>
            </w:tr>
          </w:tbl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8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Indicador de comparación de rendimientos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" w:firstLine="0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El indicador de comparación de rendimientos será el promedio aritmético simple de las tasas de cuentas de Depósito a Plazo a 360 días en dólares de los 3 principales Bancos* del país (por el tamaño de los pasivos). Los resultados serán presentados en los estados de cuenta.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 indicador de comparación de rendimientos estará medido por un índice ponderado compuesto en un 25% por el rendimiento del índice de depósitos a plazo en dólares a 30 días de los cuatro principales bancos del sistema financiero nacional, 10% por el rendimiento del índice de los bonos en dólares emitidos por el Gobierno Peruano con duración promedio de cinco años y 65% por el rendimiento del índice de bonos corporativos latinoamericanos (Perú, Chile, Colombia, México y Brasil) en dólares con una duración promedio de 3 años.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Estos índices son elaborados y suministrados por la empresa Proveedor Integral de Precios (PIP).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8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Gastos a cargo del Fondo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352"/>
              </w:tabs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Gastos a cargo de EL FONDO: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352"/>
              </w:tabs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tabs>
                <w:tab w:val="left" w:leader="none" w:pos="451"/>
              </w:tabs>
              <w:spacing w:before="5" w:lineRule="auto"/>
              <w:ind w:left="451" w:hanging="351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Comisión Unificada de El FONDO: Comisión de administración: de 0 % a 5.00 % + IGV anual sobre el patrimonio neto de pre cierre administrado. La comisión se devenga diariamente y se cobra mensualmente. A la vigencia del presente Anexo del Reglamento de Participación se cobra el 1.30% nominal anual (base 360) + IGV.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tabs>
                <w:tab w:val="left" w:leader="none" w:pos="451"/>
              </w:tabs>
              <w:spacing w:before="5" w:lineRule="auto"/>
              <w:ind w:left="451" w:hanging="351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Comisiones propias de las operaciones de inversión: Hasta 5.00% del monto negociado (incluye comisión de intermediación por transacciones bursátiles o extrabursátiles, contribuciones CAVALI y BVL, impuestos, mantenimientos de cuentas, transferencias interbancarias y otras de similar naturaleza).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352"/>
              </w:tabs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Gastos a cargo de EL FONDO: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352"/>
              </w:tabs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tabs>
                <w:tab w:val="left" w:leader="none" w:pos="451"/>
              </w:tabs>
              <w:spacing w:before="5" w:lineRule="auto"/>
              <w:ind w:left="451" w:hanging="351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Comisión Unificada de El FONDO: Comisión de administración: de 0 % a 5.00 % + IGV anual sobre el patrimonio neto de pre cierre administrado. La comisión se devenga diariamente y se cobra mensualmente. A la vigencia del presente Anexo del Reglamento de Participación se cobra el 1.30% nominal anual (base 360) + IGV.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tabs>
                <w:tab w:val="left" w:leader="none" w:pos="451"/>
              </w:tabs>
              <w:spacing w:before="5" w:lineRule="auto"/>
              <w:ind w:left="451" w:hanging="351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Comisiones propias de las operaciones de inversión: Hasta 5.00% del monto negociado (incluye comisión de intermediación por transacciones bursátiles o extrabursátiles, contribuciones CAVALI y BVL, impuestos, mantenimientos de cuentas, transferencias interbancarias y otras de similar naturaleza).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tabs>
                <w:tab w:val="left" w:leader="none" w:pos="451"/>
              </w:tabs>
              <w:spacing w:before="5" w:lineRule="auto"/>
              <w:ind w:left="451" w:hanging="351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Comisiones cobradas por fondos de terceros: los fondos mutuos en los que invierte el FONDO cobran comisión de administración y pueden cobrar comisiones de suscripción y/o rescate. Dichas comisiones podrán ir desde 0% a 5% más IGV.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tabs>
                <w:tab w:val="left" w:leader="none" w:pos="451"/>
              </w:tabs>
              <w:spacing w:before="1" w:line="242" w:lineRule="auto"/>
              <w:ind w:left="451" w:right="114" w:hanging="351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Tributos cobrados por la SMV: La tasa de contribución mensual que cobra la SMV asciende a 0.0021% mensual del patrimonio del fondo, lo que equivale a 0.0252% anual aproximadamente, el IGV no aplica sobre la misma. </w:t>
            </w:r>
          </w:p>
        </w:tc>
      </w:tr>
    </w:tbl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60"/>
        </w:tabs>
        <w:ind w:right="-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60"/>
        </w:tabs>
        <w:ind w:right="-20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El cuadro comparativo con el detalle de la totalidad de las modificaciones se encuentra en nuestra página web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18"/>
            <w:szCs w:val="18"/>
            <w:u w:val="single"/>
            <w:rtl w:val="0"/>
          </w:rPr>
          <w:t xml:space="preserve">https://fondos.bbva.pe/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desde el 15 de febrero y entrarán en vigencia el día 9 de marzo de 2023.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60"/>
        </w:tabs>
        <w:ind w:right="-2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Si en caso usted no se encuentra conforme con lo expresado, puede rescatar sus cuotas sin cobro de comisión de rescate dentro de los 15 días hábiles contados a partir del día siguiente de la publicación del cambio en nuestra página web.</w:t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otro particular, nos despedimos no sin antes agradecer tu confianza. Gracias a ti somos la administradora de fondos mutuos con mayor número de partícipes en el mercado peruano.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Atentamente,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Diego Icaza Pedraz</w:t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Gerente General</w:t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BBVA Asset Management SA SAF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5" w:top="1417" w:left="1276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-381629</wp:posOffset>
          </wp:positionH>
          <wp:positionV relativeFrom="paragraph">
            <wp:posOffset>-201924</wp:posOffset>
          </wp:positionV>
          <wp:extent cx="1866900" cy="52324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5232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451" w:hanging="351"/>
      </w:pPr>
      <w:rPr>
        <w:rFonts w:ascii="Times New Roman" w:cs="Times New Roman" w:eastAsia="Times New Roman" w:hAnsi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1370" w:hanging="351"/>
      </w:pPr>
      <w:rPr/>
    </w:lvl>
    <w:lvl w:ilvl="2">
      <w:start w:val="1"/>
      <w:numFmt w:val="bullet"/>
      <w:lvlText w:val="•"/>
      <w:lvlJc w:val="left"/>
      <w:pPr>
        <w:ind w:left="2288" w:hanging="350"/>
      </w:pPr>
      <w:rPr/>
    </w:lvl>
    <w:lvl w:ilvl="3">
      <w:start w:val="1"/>
      <w:numFmt w:val="bullet"/>
      <w:lvlText w:val="•"/>
      <w:lvlJc w:val="left"/>
      <w:pPr>
        <w:ind w:left="3207" w:hanging="351.00000000000045"/>
      </w:pPr>
      <w:rPr/>
    </w:lvl>
    <w:lvl w:ilvl="4">
      <w:start w:val="1"/>
      <w:numFmt w:val="bullet"/>
      <w:lvlText w:val="•"/>
      <w:lvlJc w:val="left"/>
      <w:pPr>
        <w:ind w:left="4126" w:hanging="351"/>
      </w:pPr>
      <w:rPr/>
    </w:lvl>
    <w:lvl w:ilvl="5">
      <w:start w:val="1"/>
      <w:numFmt w:val="bullet"/>
      <w:lvlText w:val="•"/>
      <w:lvlJc w:val="left"/>
      <w:pPr>
        <w:ind w:left="5045" w:hanging="351"/>
      </w:pPr>
      <w:rPr/>
    </w:lvl>
    <w:lvl w:ilvl="6">
      <w:start w:val="1"/>
      <w:numFmt w:val="bullet"/>
      <w:lvlText w:val="•"/>
      <w:lvlJc w:val="left"/>
      <w:pPr>
        <w:ind w:left="5964" w:hanging="351"/>
      </w:pPr>
      <w:rPr/>
    </w:lvl>
    <w:lvl w:ilvl="7">
      <w:start w:val="1"/>
      <w:numFmt w:val="bullet"/>
      <w:lvlText w:val="•"/>
      <w:lvlJc w:val="left"/>
      <w:pPr>
        <w:ind w:left="6883" w:hanging="351.0000000000018"/>
      </w:pPr>
      <w:rPr/>
    </w:lvl>
    <w:lvl w:ilvl="8">
      <w:start w:val="1"/>
      <w:numFmt w:val="bullet"/>
      <w:lvlText w:val="•"/>
      <w:lvlJc w:val="left"/>
      <w:pPr>
        <w:ind w:left="7802" w:hanging="351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451" w:hanging="351"/>
      </w:pPr>
      <w:rPr>
        <w:rFonts w:ascii="Times New Roman" w:cs="Times New Roman" w:eastAsia="Times New Roman" w:hAnsi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1370" w:hanging="351"/>
      </w:pPr>
      <w:rPr/>
    </w:lvl>
    <w:lvl w:ilvl="2">
      <w:start w:val="1"/>
      <w:numFmt w:val="bullet"/>
      <w:lvlText w:val="•"/>
      <w:lvlJc w:val="left"/>
      <w:pPr>
        <w:ind w:left="2288" w:hanging="350"/>
      </w:pPr>
      <w:rPr/>
    </w:lvl>
    <w:lvl w:ilvl="3">
      <w:start w:val="1"/>
      <w:numFmt w:val="bullet"/>
      <w:lvlText w:val="•"/>
      <w:lvlJc w:val="left"/>
      <w:pPr>
        <w:ind w:left="3207" w:hanging="351.00000000000045"/>
      </w:pPr>
      <w:rPr/>
    </w:lvl>
    <w:lvl w:ilvl="4">
      <w:start w:val="1"/>
      <w:numFmt w:val="bullet"/>
      <w:lvlText w:val="•"/>
      <w:lvlJc w:val="left"/>
      <w:pPr>
        <w:ind w:left="4126" w:hanging="351"/>
      </w:pPr>
      <w:rPr/>
    </w:lvl>
    <w:lvl w:ilvl="5">
      <w:start w:val="1"/>
      <w:numFmt w:val="bullet"/>
      <w:lvlText w:val="•"/>
      <w:lvlJc w:val="left"/>
      <w:pPr>
        <w:ind w:left="5045" w:hanging="351"/>
      </w:pPr>
      <w:rPr/>
    </w:lvl>
    <w:lvl w:ilvl="6">
      <w:start w:val="1"/>
      <w:numFmt w:val="bullet"/>
      <w:lvlText w:val="•"/>
      <w:lvlJc w:val="left"/>
      <w:pPr>
        <w:ind w:left="5964" w:hanging="351"/>
      </w:pPr>
      <w:rPr/>
    </w:lvl>
    <w:lvl w:ilvl="7">
      <w:start w:val="1"/>
      <w:numFmt w:val="bullet"/>
      <w:lvlText w:val="•"/>
      <w:lvlJc w:val="left"/>
      <w:pPr>
        <w:ind w:left="6883" w:hanging="351.0000000000018"/>
      </w:pPr>
      <w:rPr/>
    </w:lvl>
    <w:lvl w:ilvl="8">
      <w:start w:val="1"/>
      <w:numFmt w:val="bullet"/>
      <w:lvlText w:val="•"/>
      <w:lvlJc w:val="left"/>
      <w:pPr>
        <w:ind w:left="7802" w:hanging="351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451" w:hanging="351"/>
      </w:pPr>
      <w:rPr>
        <w:rFonts w:ascii="Times New Roman" w:cs="Times New Roman" w:eastAsia="Times New Roman" w:hAnsi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1370" w:hanging="351"/>
      </w:pPr>
      <w:rPr/>
    </w:lvl>
    <w:lvl w:ilvl="2">
      <w:start w:val="1"/>
      <w:numFmt w:val="bullet"/>
      <w:lvlText w:val="•"/>
      <w:lvlJc w:val="left"/>
      <w:pPr>
        <w:ind w:left="2288" w:hanging="350"/>
      </w:pPr>
      <w:rPr/>
    </w:lvl>
    <w:lvl w:ilvl="3">
      <w:start w:val="1"/>
      <w:numFmt w:val="bullet"/>
      <w:lvlText w:val="•"/>
      <w:lvlJc w:val="left"/>
      <w:pPr>
        <w:ind w:left="3207" w:hanging="351.00000000000045"/>
      </w:pPr>
      <w:rPr/>
    </w:lvl>
    <w:lvl w:ilvl="4">
      <w:start w:val="1"/>
      <w:numFmt w:val="bullet"/>
      <w:lvlText w:val="•"/>
      <w:lvlJc w:val="left"/>
      <w:pPr>
        <w:ind w:left="4126" w:hanging="351"/>
      </w:pPr>
      <w:rPr/>
    </w:lvl>
    <w:lvl w:ilvl="5">
      <w:start w:val="1"/>
      <w:numFmt w:val="bullet"/>
      <w:lvlText w:val="•"/>
      <w:lvlJc w:val="left"/>
      <w:pPr>
        <w:ind w:left="5045" w:hanging="351"/>
      </w:pPr>
      <w:rPr/>
    </w:lvl>
    <w:lvl w:ilvl="6">
      <w:start w:val="1"/>
      <w:numFmt w:val="bullet"/>
      <w:lvlText w:val="•"/>
      <w:lvlJc w:val="left"/>
      <w:pPr>
        <w:ind w:left="5964" w:hanging="351"/>
      </w:pPr>
      <w:rPr/>
    </w:lvl>
    <w:lvl w:ilvl="7">
      <w:start w:val="1"/>
      <w:numFmt w:val="bullet"/>
      <w:lvlText w:val="•"/>
      <w:lvlJc w:val="left"/>
      <w:pPr>
        <w:ind w:left="6883" w:hanging="351.0000000000018"/>
      </w:pPr>
      <w:rPr/>
    </w:lvl>
    <w:lvl w:ilvl="8">
      <w:start w:val="1"/>
      <w:numFmt w:val="bullet"/>
      <w:lvlText w:val="•"/>
      <w:lvlJc w:val="left"/>
      <w:pPr>
        <w:ind w:left="7802" w:hanging="351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cs="Noto Sans" w:eastAsia="Noto Sans" w:hAnsi="Noto San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P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70156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basedOn w:val="Fuentedeprrafopredeter"/>
    <w:rsid w:val="00EA3C5F"/>
    <w:rPr>
      <w:color w:val="0000ff"/>
      <w:u w:val="single"/>
    </w:rPr>
  </w:style>
  <w:style w:type="paragraph" w:styleId="Default" w:customStyle="1">
    <w:name w:val="Default"/>
    <w:rsid w:val="00984215"/>
    <w:pPr>
      <w:autoSpaceDE w:val="0"/>
      <w:autoSpaceDN w:val="0"/>
      <w:adjustRightInd w:val="0"/>
    </w:pPr>
    <w:rPr>
      <w:rFonts w:ascii="TimesNewRoman" w:hAnsi="TimesNewRoman"/>
      <w:lang w:val="es-ES"/>
    </w:rPr>
  </w:style>
  <w:style w:type="paragraph" w:styleId="Textonotapie">
    <w:name w:val="footnote text"/>
    <w:basedOn w:val="Normal"/>
    <w:link w:val="TextonotapieCar"/>
    <w:rsid w:val="0079520E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rsid w:val="0079520E"/>
    <w:rPr>
      <w:lang w:eastAsia="es-ES"/>
    </w:rPr>
  </w:style>
  <w:style w:type="character" w:styleId="Refdenotaalpie">
    <w:name w:val="footnote reference"/>
    <w:basedOn w:val="Fuentedeprrafopredeter"/>
    <w:rsid w:val="0079520E"/>
    <w:rPr>
      <w:vertAlign w:val="superscript"/>
    </w:rPr>
  </w:style>
  <w:style w:type="paragraph" w:styleId="Textonotaalfinal">
    <w:name w:val="endnote text"/>
    <w:basedOn w:val="Normal"/>
    <w:link w:val="TextonotaalfinalCar"/>
    <w:rsid w:val="0077091D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rsid w:val="0077091D"/>
    <w:rPr>
      <w:lang w:eastAsia="es-ES"/>
    </w:rPr>
  </w:style>
  <w:style w:type="character" w:styleId="Refdenotaalfinal">
    <w:name w:val="endnote reference"/>
    <w:basedOn w:val="Fuentedeprrafopredeter"/>
    <w:rsid w:val="0077091D"/>
    <w:rPr>
      <w:vertAlign w:val="superscript"/>
    </w:rPr>
  </w:style>
  <w:style w:type="paragraph" w:styleId="Textodeglobo">
    <w:name w:val="Balloon Text"/>
    <w:basedOn w:val="Normal"/>
    <w:link w:val="TextodegloboCar"/>
    <w:semiHidden w:val="1"/>
    <w:unhideWhenUsed w:val="1"/>
    <w:rsid w:val="0067367F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semiHidden w:val="1"/>
    <w:rsid w:val="0067367F"/>
    <w:rPr>
      <w:rFonts w:ascii="Tahoma" w:cs="Tahoma" w:hAnsi="Tahoma"/>
      <w:sz w:val="16"/>
      <w:szCs w:val="16"/>
      <w:lang w:eastAsia="es-ES"/>
    </w:rPr>
  </w:style>
  <w:style w:type="table" w:styleId="Tablaconcuadrcula">
    <w:name w:val="Table Grid"/>
    <w:basedOn w:val="Tablanormal"/>
    <w:rsid w:val="004E721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nhideWhenUsed w:val="1"/>
    <w:rsid w:val="00CF06F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CF06F0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 w:val="1"/>
    <w:rsid w:val="00CF06F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rsid w:val="00CF06F0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 w:val="1"/>
    <w:rsid w:val="002A777D"/>
    <w:pPr>
      <w:ind w:left="720"/>
      <w:contextualSpacing w:val="1"/>
    </w:pPr>
  </w:style>
  <w:style w:type="paragraph" w:styleId="TableParagraph" w:customStyle="1">
    <w:name w:val="Table Paragraph"/>
    <w:basedOn w:val="Normal"/>
    <w:uiPriority w:val="1"/>
    <w:qFormat w:val="1"/>
    <w:rsid w:val="00704FBB"/>
    <w:pPr>
      <w:widowControl w:val="0"/>
    </w:pPr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table" w:styleId="TableNormal0" w:customStyle="1">
    <w:name w:val="Table Normal"/>
    <w:uiPriority w:val="2"/>
    <w:semiHidden w:val="1"/>
    <w:unhideWhenUsed w:val="1"/>
    <w:qFormat w:val="1"/>
    <w:rsid w:val="00704FBB"/>
    <w:pPr>
      <w:widowControl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rPr>
      <w:rFonts w:ascii="Calibri" w:cs="Calibri" w:eastAsia="Calibri" w:hAnsi="Calibri"/>
    </w:rPr>
    <w:tblPr>
      <w:tblStyleRowBandSize w:val="1"/>
      <w:tblStyleColBandSize w:val="1"/>
    </w:tblPr>
  </w:style>
  <w:style w:type="table" w:styleId="a1" w:customStyle="1">
    <w:basedOn w:val="TableNormal0"/>
    <w:rPr>
      <w:rFonts w:ascii="Calibri" w:cs="Calibri" w:eastAsia="Calibri" w:hAnsi="Calibri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ndos.bbva.pe/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wiX/5vJZBv01URHlXM6ev79LnA==">AMUW2mWJrH0u+joD06ouJvCsdRVtYM31S9H0hvta52BDW8R6A0K9xejWJX38kfTwwol6zD+qaE+e/UtZsiiyFrX7qYNZdUDibw4L7NHLQ7uR0/Morx7BYtRTFUAJWfswSKL1rDL+g6Qu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2022-04-11T21:22:00Z</dcterms:created>
  <dc:creator>Asistente</dc:creator>
</cp:coreProperties>
</file>