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 Isidro, febrero de 2023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Estimado Partícipe,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medio de la presente, queremos informarle que, con el objetivo de mejorar nuestra oferta de soluciones de inversión, hemos decidido modificar el Prospecto Simplificado y del Anexo del Reglamento de su fondo mutuo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BBVA DÓLARES MONETARIO FMIV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que pasará a denominarse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BBVA RENTA CORTO PLAZO DÓLARES FMIV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Adjuntamos detalle resumido de los cambios más relevantes que planeamos realizar: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0"/>
        <w:gridCol w:w="3880"/>
        <w:gridCol w:w="3880"/>
        <w:tblGridChange w:id="0">
          <w:tblGrid>
            <w:gridCol w:w="1570"/>
            <w:gridCol w:w="3880"/>
            <w:gridCol w:w="3880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Antes</w:t>
            </w:r>
          </w:p>
        </w:tc>
        <w:tc>
          <w:tcPr>
            <w:shd w:fill="00206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Ahora</w:t>
            </w:r>
          </w:p>
        </w:tc>
      </w:tr>
      <w:tr>
        <w:trPr>
          <w:cantSplit w:val="1"/>
          <w:trHeight w:val="781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Denominación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BBVA Dólares Monetario FMIV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BBVA Renta Corto Plazo Dólares FMIV</w:t>
            </w:r>
          </w:p>
        </w:tc>
      </w:tr>
      <w:tr>
        <w:trPr>
          <w:cantSplit w:val="1"/>
          <w:trHeight w:val="781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Política de Inversiones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58.22834645669331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41.7322834645671" w:right="58.22834645669331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FONDO invierte únicamente en instrumentos de deuda, cuya duración promedio es mayor a noventa (90) días y hasta trescientos sesenta (360) días; predominantemente en dólares e indistintamente en el mercado local o extranjero, el FONDO invertirá por lo menos el 75% del activo total en la moneda de referencia del valor cuota. </w:t>
            </w:r>
          </w:p>
          <w:p w:rsidR="00000000" w:rsidDel="00000000" w:rsidP="00000000" w:rsidRDefault="00000000" w:rsidRPr="00000000" w14:paraId="00000013">
            <w:pPr>
              <w:ind w:left="141.7322834645671" w:right="58.22834645669331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41.7322834645671" w:right="58.22834645669331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FONDO mutuo invertirá en instrumentos de deuda con clasificación de riesgo local entre AAA y A- en el mercado Local, y en instrumentos de deuda de categoría igual o superior a BB- en el mercado internacional. El FONDO podrá invertir en instrumentos de deuda de corto plazo, predominantemente con niveles de riesgo categoría CP-1 y hasta CP-2 en el mercado local, y hasta CP-3 en mercado extranjero.</w:t>
            </w:r>
          </w:p>
          <w:p w:rsidR="00000000" w:rsidDel="00000000" w:rsidP="00000000" w:rsidRDefault="00000000" w:rsidRPr="00000000" w14:paraId="00000015">
            <w:pPr>
              <w:ind w:left="141.7322834645671" w:right="58.22834645669331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41.7322834645671" w:right="58.22834645669331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FONDO podrá invertir hasta un 50% del activo total en fondos mutuos y/o de inversión que inviertan el 100% en instrumentos representativos de deuda o derechos sobre acreencias. Los derechos sobre acreencias solo aplicarán en el caso de Fondos de Inversión.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58.22834645669331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615.0" w:type="dxa"/>
              <w:jc w:val="left"/>
              <w:tblInd w:w="106.0" w:type="dxa"/>
              <w:tblLayout w:type="fixed"/>
              <w:tblLook w:val="0000"/>
            </w:tblPr>
            <w:tblGrid>
              <w:gridCol w:w="2295"/>
              <w:gridCol w:w="675"/>
              <w:gridCol w:w="645"/>
              <w:tblGridChange w:id="0">
                <w:tblGrid>
                  <w:gridCol w:w="2295"/>
                  <w:gridCol w:w="675"/>
                  <w:gridCol w:w="645"/>
                </w:tblGrid>
              </w:tblGridChange>
            </w:tblGrid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141.7322834645671" w:right="58.228346456693316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Según Clasificación de Riesgo Internacional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" w:line="240" w:lineRule="auto"/>
                    <w:ind w:left="141.7322834645671" w:right="58.228346456693316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%Min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" w:line="240" w:lineRule="auto"/>
                    <w:ind w:left="141.7322834645671" w:right="58.228346456693316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%Max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10" w:line="240" w:lineRule="auto"/>
                    <w:ind w:left="141.7322834645671" w:right="58.228346456693316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Categoría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AAA hasta AA- en Largo Plazo y CP-1 en Corto Plazo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" w:line="240" w:lineRule="auto"/>
                    <w:ind w:left="141.7322834645671" w:right="58.228346456693316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" w:line="240" w:lineRule="auto"/>
                    <w:ind w:left="141.7322834645671" w:right="58.228346456693316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5" w:line="240" w:lineRule="auto"/>
                    <w:ind w:left="141.7322834645671" w:right="58.228346456693316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Categoría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A+ hasta A- en Largo Plazo y CP-</w:t>
                  </w: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 en Corto Plazo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" w:line="240" w:lineRule="auto"/>
                    <w:ind w:left="141.7322834645671" w:right="58.228346456693316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" w:line="240" w:lineRule="auto"/>
                    <w:ind w:left="141.7322834645671" w:right="58.228346456693316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75%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spacing w:before="5" w:lineRule="auto"/>
                    <w:ind w:left="141.7322834645671" w:right="58.228346456693316" w:firstLine="0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Categoría BBB+ hasta BB- en Largo Plazo y CP-3 en Corto Plazo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" w:line="240" w:lineRule="auto"/>
                    <w:ind w:left="141.7322834645671" w:right="58.228346456693316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7" w:line="240" w:lineRule="auto"/>
                    <w:ind w:left="141.7322834645671" w:right="58.228346456693316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70%</w:t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ind w:left="141.7322834645671" w:right="58.22834645669331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41.7322834645671" w:right="58.228346456693316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BBVA Renta Corto Plazo Dólares FMIV (en adelante, “FONDO”) tiene como objetivo invertir únicamente en instrumentos de deuda, predominantemente en dólares e indistintamente en el mercado local o extranjero, según se indica en la Política de Inversiones. El portafolio de inversiones del FONDO tendrá una duración promedio mayor a noventa (90) días hasta trescientos sesenta (360) días. EL FONDO invertirá por lo menos el 75% del activo total en la moneda de referencia del valor cuota.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FONDO busca mantener una adecuada calidad crediticia, pudiendo mantener hasta el 100% del activo total en instrumentos de deuda con clasificación de riesgo local igual o superior a AA- en el largo plazo, CP-1 en el corto plazo y/o riesgo Estado Peruano. Asimismo, contempla la inversión en instrumentos de deuda con clasificación de riesgo igual o superior a A- en el largo plazo y CP-2 en el corto plazo.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inversiones en instrumentos de deuda en el mercado extranjero se realizarán mayoritariamente en instrumentos con clasificaciones de riesgo igual o mejor a BBB- en el largo plazo y CP-2 en el corto plazo, según lo señalado en la política de inversiones. No obstante, también se permite la inversión en instrumentos de deuda con clasificación internacional igual o superior a BB- en el largo plazo y CP-3 en el corto plazo. El FONDO podrá invertir como máximo el 30% del activo total en instrumentos de empresas vinculadas a la sociedad administradora.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8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Indicador de comparación de rendimientos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58.22834645669331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 indicador de comparación de rendimientos será el promedio simple de las tasas de interés para depósitos a plazo en dólares a 180 días de los tres primeros bancos del sistema financiero nacional (en función al tamaño de sus pasivos).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FONDO podrá invertir hasta el 100% del activo total en instrumentos representativos de deuda o pasivos como depósitos, papeles comerciales, letras del tesoro, certificados de depósito y/o bonos. El FONDO además podrá invertir hasta el 20% del activo total en cuotas de participación de fondos mutuos y/o fondos de inversión que inviertan en instrumentos representativos de deuda o pasivos y que sean administrados por entidades distintas a la sociedad administradora. Además, podrá invertir hasta el 20% del activo total en Exchange Traded Funds (ETFs) que inviertan en instrumentos representativos de deuda o pasivos. </w:t>
            </w:r>
          </w:p>
          <w:p w:rsidR="00000000" w:rsidDel="00000000" w:rsidP="00000000" w:rsidRDefault="00000000" w:rsidRPr="00000000" w14:paraId="00000031">
            <w:pPr>
              <w:widowControl w:val="1"/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302.0" w:type="dxa"/>
              <w:jc w:val="left"/>
              <w:tblInd w:w="106.0" w:type="dxa"/>
              <w:tblLayout w:type="fixed"/>
              <w:tblLook w:val="0000"/>
            </w:tblPr>
            <w:tblGrid>
              <w:gridCol w:w="2168"/>
              <w:gridCol w:w="567"/>
              <w:gridCol w:w="567"/>
              <w:tblGridChange w:id="0">
                <w:tblGrid>
                  <w:gridCol w:w="2168"/>
                  <w:gridCol w:w="567"/>
                  <w:gridCol w:w="567"/>
                </w:tblGrid>
              </w:tblGridChange>
            </w:tblGrid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before="10" w:lineRule="auto"/>
                    <w:ind w:left="141.7322834645671" w:right="199.96062992126042" w:firstLine="0"/>
                    <w:rPr>
                      <w:rFonts w:ascii="Arial" w:cs="Arial" w:eastAsia="Arial" w:hAnsi="Arial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4"/>
                      <w:szCs w:val="14"/>
                      <w:rtl w:val="0"/>
                    </w:rPr>
                    <w:t xml:space="preserve">Según Clasificación de Riesgo Internacional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before="7" w:lineRule="auto"/>
                    <w:ind w:left="141.7322834645671" w:right="199.96062992126042" w:firstLine="0"/>
                    <w:jc w:val="center"/>
                    <w:rPr>
                      <w:rFonts w:ascii="Arial" w:cs="Arial" w:eastAsia="Arial" w:hAnsi="Arial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4"/>
                      <w:szCs w:val="14"/>
                      <w:rtl w:val="0"/>
                    </w:rPr>
                    <w:t xml:space="preserve">%Min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before="7" w:lineRule="auto"/>
                    <w:ind w:left="141.7322834645671" w:right="199.96062992126042" w:firstLine="0"/>
                    <w:jc w:val="center"/>
                    <w:rPr>
                      <w:rFonts w:ascii="Arial" w:cs="Arial" w:eastAsia="Arial" w:hAnsi="Arial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4"/>
                      <w:szCs w:val="14"/>
                      <w:rtl w:val="0"/>
                    </w:rPr>
                    <w:t xml:space="preserve">%Max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before="10" w:lineRule="auto"/>
                    <w:ind w:left="141.7322834645671" w:right="199.96062992126042" w:firstLine="0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AAA hasta AA- en Largo Plazo y CP-1 en Corto Plazo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before="7" w:lineRule="auto"/>
                    <w:ind w:left="141.7322834645671" w:right="199.96062992126042" w:firstLine="0"/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before="7" w:lineRule="auto"/>
                    <w:ind w:left="141.7322834645671" w:right="199.96062992126042" w:firstLine="0"/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before="5" w:lineRule="auto"/>
                    <w:ind w:left="141.7322834645671" w:right="199.96062992126042" w:firstLine="0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A+ hasta BBB- en Largo Plazo y CP-2 en Corto Plazo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before="7" w:lineRule="auto"/>
                    <w:ind w:left="141.7322834645671" w:right="199.96062992126042" w:firstLine="0"/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5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before="7" w:lineRule="auto"/>
                    <w:ind w:left="141.7322834645671" w:right="199.96062992126042" w:firstLine="0"/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before="7" w:lineRule="auto"/>
                    <w:ind w:left="141.7322834645671" w:right="199.96062992126042" w:firstLine="0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Categoría BB+ hasta BB- en Largo Plazo y CP-3 en Corto Plazo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before="7" w:lineRule="auto"/>
                    <w:ind w:left="141.7322834645671" w:right="199.96062992126042" w:firstLine="0"/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5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before="7" w:lineRule="auto"/>
                    <w:ind w:left="141.7322834645671" w:right="199.96062992126042" w:firstLine="0"/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50%</w:t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 indicador de comparación de rendimientos estará medido por un índice ponderado compuesto en un 30% por el promedio aritmético simple de las tasas de cuentas de Depósito a Plazo a 30 días en dólares de los tres primeros bancos del sistema financiero nacional (en función al tamaño de sus pasivos), 55% por el promedio aritmético simple de las tasas de cuentas de Depósito a Plazo a 180 días en dólares de los tres primeros bancos del sistema financiero nacional y 15% por el rendimiento del índice de bonos corporativos latinoamericanos (Perú, Chile, Colombia, México y Brasil) en dólares con una duración promedio de 3 años. Estos índices serán elaborados y suministrados por la empresa Proveedor Integral de Precios (PIP).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247900" cy="190500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487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DEP30D: Promedio aritmético simple de las tasas de cuentas de Depósito a Plazo a 30 días en dólares de los tres primeros bancos* del sistema financiero nacional (en función al tamaño de sus pasivos).</w:t>
            </w:r>
          </w:p>
          <w:p w:rsidR="00000000" w:rsidDel="00000000" w:rsidP="00000000" w:rsidRDefault="00000000" w:rsidRPr="00000000" w14:paraId="00000045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DEP180D: Promedio aritmético simple de las tasas de cuentas de Depósito a Plazo a 180 días en dólares de los tres primeros bancos* del sistema financiero nacional (en función al tamaño de sus pasivos).</w:t>
            </w:r>
          </w:p>
          <w:p w:rsidR="00000000" w:rsidDel="00000000" w:rsidP="00000000" w:rsidRDefault="00000000" w:rsidRPr="00000000" w14:paraId="00000047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EURLATAM3Y: Rendimiento del índice de bonos corporativos latinoamericanos (Perú, Chile, México, Colombia y Brasil) en dólares con una duración promedio de 3 años.</w:t>
            </w:r>
          </w:p>
          <w:p w:rsidR="00000000" w:rsidDel="00000000" w:rsidP="00000000" w:rsidRDefault="00000000" w:rsidRPr="00000000" w14:paraId="00000049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Estos índices serán elaborados y suministrados por la empresa Proveedor Integral de Precios (PIP).</w:t>
            </w:r>
          </w:p>
          <w:p w:rsidR="00000000" w:rsidDel="00000000" w:rsidP="00000000" w:rsidRDefault="00000000" w:rsidRPr="00000000" w14:paraId="0000004B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41.7322834645671" w:right="199.96062992126042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ese sentido, los rendimientos presentados en el estado de cuenta serán comparados con los rendimientos obtenidos por el mencionado índice durante los mismos periodos. El riesgo y rendimiento de los instrumentos que forman parte de la cartera de El FONDO, no necesariamente corresponden al riesgo y rendimiento del (de los) instrumento(s) representado(s) por el indicador de comparación de rendimientos (“Benchmark”).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 La fuente para las tasas de depósitos en dólares de los principales bancos será la proporcionada por la Superintendencia de Banca, Seguros y AFPs.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99.9606299212604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7.890625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Comisiones y gastos del fondo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2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(...)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(...)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Tributos cobrados por la SMV: La tasa de contribución mensual que cobra la SMV asciende a 0.0021% mensual del patrimonio del fondo, lo que equivale a 0.0252% anual aproximadamente, el IGV no aplica sobre la misma.</w:t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660"/>
        </w:tabs>
        <w:ind w:right="-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cuadro comparativo con el detalle de la totalidad de las modificaciones se encuentra en nuestra página web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https://fondos.bbva.pe/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desde el el 15 de febrero y entrarán en vigencia el día 9 de marzo de 2023.</w:t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660"/>
        </w:tabs>
        <w:ind w:right="-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en caso usted no se encuentra conforme con lo expresado, puede rescatar sus cuotas sin cobro de comisión de rescate dentro de los 15 días hábiles contados a partir del día siguiente de la publicación del cambio en nuestra página web.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 otro particular, nos despedimos no sin antes agradecer tu confianza. Gracias a ti somos la administradora de fondos mutuos con mayor número de partícipes en el mercado peruano.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Diego Icaza Pedraz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Gerente General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BBVA Asset Management SA SAF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-381629</wp:posOffset>
          </wp:positionH>
          <wp:positionV relativeFrom="paragraph">
            <wp:posOffset>-201924</wp:posOffset>
          </wp:positionV>
          <wp:extent cx="1866900" cy="523240"/>
          <wp:effectExtent b="0" l="0" r="0" t="0"/>
          <wp:wrapSquare wrapText="bothSides" distB="0" distT="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5232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0156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rsid w:val="00EA3C5F"/>
    <w:rPr>
      <w:color w:val="0000ff"/>
      <w:u w:val="single"/>
    </w:rPr>
  </w:style>
  <w:style w:type="paragraph" w:styleId="Default" w:customStyle="1">
    <w:name w:val="Default"/>
    <w:rsid w:val="00984215"/>
    <w:pPr>
      <w:autoSpaceDE w:val="0"/>
      <w:autoSpaceDN w:val="0"/>
      <w:adjustRightInd w:val="0"/>
    </w:pPr>
    <w:rPr>
      <w:rFonts w:ascii="TimesNewRoman" w:hAnsi="TimesNewRoman"/>
      <w:lang w:eastAsia="es-ES" w:val="es-ES"/>
    </w:rPr>
  </w:style>
  <w:style w:type="paragraph" w:styleId="Textonotapie">
    <w:name w:val="footnote text"/>
    <w:basedOn w:val="Normal"/>
    <w:link w:val="TextonotapieCar"/>
    <w:rsid w:val="0079520E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79520E"/>
    <w:rPr>
      <w:lang w:eastAsia="es-ES"/>
    </w:rPr>
  </w:style>
  <w:style w:type="character" w:styleId="Refdenotaalpie">
    <w:name w:val="footnote reference"/>
    <w:basedOn w:val="Fuentedeprrafopredeter"/>
    <w:rsid w:val="0079520E"/>
    <w:rPr>
      <w:vertAlign w:val="superscript"/>
    </w:rPr>
  </w:style>
  <w:style w:type="paragraph" w:styleId="Textonotaalfinal">
    <w:name w:val="endnote text"/>
    <w:basedOn w:val="Normal"/>
    <w:link w:val="TextonotaalfinalCar"/>
    <w:rsid w:val="0077091D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rsid w:val="0077091D"/>
    <w:rPr>
      <w:lang w:eastAsia="es-ES"/>
    </w:rPr>
  </w:style>
  <w:style w:type="character" w:styleId="Refdenotaalfinal">
    <w:name w:val="endnote reference"/>
    <w:basedOn w:val="Fuentedeprrafopredeter"/>
    <w:rsid w:val="0077091D"/>
    <w:rPr>
      <w:vertAlign w:val="superscript"/>
    </w:rPr>
  </w:style>
  <w:style w:type="paragraph" w:styleId="Textodeglobo">
    <w:name w:val="Balloon Text"/>
    <w:basedOn w:val="Normal"/>
    <w:link w:val="TextodegloboCar"/>
    <w:semiHidden w:val="1"/>
    <w:unhideWhenUsed w:val="1"/>
    <w:rsid w:val="0067367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semiHidden w:val="1"/>
    <w:rsid w:val="0067367F"/>
    <w:rPr>
      <w:rFonts w:ascii="Tahoma" w:cs="Tahoma" w:hAnsi="Tahoma"/>
      <w:sz w:val="16"/>
      <w:szCs w:val="16"/>
      <w:lang w:eastAsia="es-ES"/>
    </w:rPr>
  </w:style>
  <w:style w:type="table" w:styleId="Tablaconcuadrcula">
    <w:name w:val="Table Grid"/>
    <w:basedOn w:val="Tablanormal"/>
    <w:rsid w:val="004E72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CF06F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F06F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 w:val="1"/>
    <w:rsid w:val="00CF06F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F06F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2A777D"/>
    <w:pPr>
      <w:ind w:left="720"/>
      <w:contextualSpacing w:val="1"/>
    </w:pPr>
  </w:style>
  <w:style w:type="table" w:styleId="TableNormal1" w:customStyle="1">
    <w:name w:val="Table Normal1"/>
    <w:uiPriority w:val="2"/>
    <w:semiHidden w:val="1"/>
    <w:unhideWhenUsed w:val="1"/>
    <w:qFormat w:val="1"/>
    <w:rsid w:val="000B54C3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0B54C3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table" w:styleId="TableNormal" w:customStyle="1">
    <w:name w:val="Table Normal"/>
    <w:uiPriority w:val="2"/>
    <w:semiHidden w:val="1"/>
    <w:unhideWhenUsed w:val="1"/>
    <w:qFormat w:val="1"/>
    <w:rsid w:val="00D344BB"/>
    <w:pPr>
      <w:widowControl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ndos.bbva.p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L0puCyyw/rThe6IpaPv7jufVIA==">AMUW2mXTwd1WXJ1Azcg4X027A7tzz1t5x+wGNes1Oe51yqlFj4HiBoNM2s8zRCWYYmLOJ27EfX+ODTjpiYgrQucydrVebQRIw9RsSknw/qjirof08G8Eewl2U5fyJ7MDCG9tZfG3MogOFQ2dLhM4keUueCWAi6eVswqC2V9688NZ3JrqfOpJYccbWEX++8FVWdo5ZuIW9uclX9vbz6b9mHv4gpxU0WkVwUe8OL3MLHMAlv9bwFSPm2opLmkSzde7bkJIl1Z5uc9cOV2IprDScwYFKTh8UHb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2021-05-21T14:02:00Z</dcterms:created>
  <dc:creator>Asistente</dc:creator>
</cp:coreProperties>
</file>