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San Isidro, febrero de 2023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Estimado Partícipe,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queremos informarle que, con el objetivo de mejorar e innovar nuestra oferta de fondos mutuos, hemos decidido modificar el Prospecto Simplificado y del Anexo del Reglamento de Participación del fondo mutuo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BBVA SOLES FMIV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que se convertirá en el fondo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BBVA RENTA MEDIANO PLAZO SOLES FMIV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Adjuntamos detalle resumido de los cambios más relevantes que planeamos realizar: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0"/>
        <w:gridCol w:w="3880"/>
        <w:gridCol w:w="3880"/>
        <w:tblGridChange w:id="0">
          <w:tblGrid>
            <w:gridCol w:w="1570"/>
            <w:gridCol w:w="3880"/>
            <w:gridCol w:w="3880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Antes</w:t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Ahora</w:t>
            </w:r>
          </w:p>
        </w:tc>
      </w:tr>
      <w:tr>
        <w:trPr>
          <w:cantSplit w:val="1"/>
          <w:trHeight w:val="352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Denominación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4" w:firstLine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BBVA Soles FMIV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BBVA Renta Mediano Plazo Soles FMIV</w:t>
            </w:r>
          </w:p>
        </w:tc>
      </w:tr>
      <w:tr>
        <w:trPr>
          <w:cantSplit w:val="1"/>
          <w:trHeight w:val="3532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Objetivo de inversión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164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(...)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10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FONDO podrá invertir hasta el 100% del activo total en instrumentos representativos de deuda o pasivos como depósitos, papeles comerciales, letras del tesoro, certificados de depósito y/o bonos. El FONDO además podrá invertir hasta el 100% del activo total en cuotas de participación de fondos mutuos que inviertan en instrumentos representativos de deuda o pasivos y que sean administrados por entidades distintas a la sociedad administradora. Además, podrá invertir hasta el 100% del activo total en Exchange Traded Funds (ETFs) que inviertan en instrumentos representativos de deuda o pasivos.</w:t>
            </w:r>
          </w:p>
        </w:tc>
      </w:tr>
      <w:tr>
        <w:trPr>
          <w:cantSplit w:val="1"/>
          <w:trHeight w:val="3532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Política de Inversiones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4" w:hanging="164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 duración promedio es mayor a 360 días y hasta 1080 días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4" w:firstLine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02.0" w:type="dxa"/>
              <w:jc w:val="left"/>
              <w:tblInd w:w="106.0" w:type="dxa"/>
              <w:tblLayout w:type="fixed"/>
              <w:tblLook w:val="0000"/>
            </w:tblPr>
            <w:tblGrid>
              <w:gridCol w:w="2168"/>
              <w:gridCol w:w="567"/>
              <w:gridCol w:w="567"/>
              <w:tblGridChange w:id="0">
                <w:tblGrid>
                  <w:gridCol w:w="2168"/>
                  <w:gridCol w:w="567"/>
                  <w:gridCol w:w="567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%Min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%Max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Según Mercado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Inversiones mercado local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50%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Inversiones mercado extranjero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50%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Según Clasificación de Riesgo Internacional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BBB- o Mejor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50%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5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BB- o Mejor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40%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hanging="164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 duración promedio podrá ir desde un (1) año hasta tres (3) años.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302.0" w:type="dxa"/>
              <w:jc w:val="left"/>
              <w:tblInd w:w="106.0" w:type="dxa"/>
              <w:tblLayout w:type="fixed"/>
              <w:tblLook w:val="0000"/>
            </w:tblPr>
            <w:tblGrid>
              <w:gridCol w:w="2168"/>
              <w:gridCol w:w="567"/>
              <w:gridCol w:w="567"/>
              <w:tblGridChange w:id="0">
                <w:tblGrid>
                  <w:gridCol w:w="2168"/>
                  <w:gridCol w:w="567"/>
                  <w:gridCol w:w="567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%Min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%Max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Según Mercado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Inversiones mercado local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Inversiones mercado extranjero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Según Clasificación de Riesgo Internacional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10" w:lineRule="auto"/>
                    <w:ind w:left="49" w:firstLine="0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AAA hasta AA- en Largo Plazo y CP-1 en Corto Plazo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5" w:lineRule="auto"/>
                    <w:ind w:left="49" w:firstLine="0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Categoría A+ hasta BBB- en Largo Plazo y CP-2 en Corto Plazo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49" w:firstLine="0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Categoría BB+ hasta BB- en Largo Plazo y CP-3 en Corto Plazo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12" w:right="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7" w:lineRule="auto"/>
                    <w:ind w:left="-3" w:firstLine="0"/>
                    <w:jc w:val="center"/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4"/>
                      <w:szCs w:val="14"/>
                      <w:rtl w:val="0"/>
                    </w:rPr>
                    <w:t xml:space="preserve">50%</w:t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8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Indicador de comparación de rendimientos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" w:firstLine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indicador de comparación de rendimientos será el promedio aritmético simple de las tasas de cuentas de Depósito a Plazo a 360 días en soles de los 3 principales Bancos* del país (por el tamaño de los pasivos). Los resultados serán presentados en los estados de cuenta.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indicador de comparación de rendimientos estará medido por un índice ponderado compuesto en un 25% por el rendimiento del índice de depósitos a plazo en soles a 30 días de los cuatro principales bancos del sistema financiero nacional, 30% por el rendimiento del índice de bonos corporativos latinoamericanos (Perú, Chile, Colombia, México y Brasil) en dólares con una duración promedio de 3 años, 15% por el rendimiento del índice de bonos soberanos en soles emitidos por el Gobierno Peruano con una duración promedio de 5.0 años y 30% por el rendimiento del índice de bonos corporativos peruanos en soles con una duración promedio de 3.0 años.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Estos índices son elaborados y suministrados por la empresa Proveedor Integral de Precios (PIP).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8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Gastos a cargo del Fondo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352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Gastos a cargo de EL FONDO: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352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tabs>
                <w:tab w:val="left" w:leader="none" w:pos="451"/>
              </w:tabs>
              <w:spacing w:before="5" w:lineRule="auto"/>
              <w:ind w:left="451" w:hanging="35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Comisión Unificada de El FONDO: Comisión de administración: de 0 % a 5.00 % + IGV anual sobre el patrimonio neto de pre cierre administrado. La comisión se devenga diariamente y se cobra mensualmente. A la vigencia del presente Anexo del Reglamento de Participación se cobra el 1.30% nominal anual (base 360) + IGV.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leader="none" w:pos="451"/>
              </w:tabs>
              <w:spacing w:before="5" w:lineRule="auto"/>
              <w:ind w:left="451" w:hanging="35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Comisiones propias de las operaciones de inversión: Hasta 5.00% del monto negociado (incluye comisión de intermediación por transacciones bursátiles o extrabursátiles, contribuciones CAVALI y BVL, impuestos, mantenimientos de cuentas, transferencias interbancarias y otras de similar naturaleza).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352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Gastos a cargo de EL FONDO:</w:t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352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tabs>
                <w:tab w:val="left" w:leader="none" w:pos="451"/>
              </w:tabs>
              <w:spacing w:before="5" w:lineRule="auto"/>
              <w:ind w:left="451" w:hanging="35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Comisión Unificada de El FONDO: Comisión de administración: de 0 % a 5.00 % + IGV anual sobre el patrimonio neto de pre cierre administrado. La comisión se devenga diariamente y se cobra mensualmente. A la vigencia del presente Anexo del Reglamento de Participación se cobra el 1.30% nominal anual (base 360) + IGV.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tabs>
                <w:tab w:val="left" w:leader="none" w:pos="451"/>
              </w:tabs>
              <w:spacing w:before="5" w:lineRule="auto"/>
              <w:ind w:left="451" w:hanging="35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Comisiones propias de las operaciones de inversión: Hasta 5.00% del monto negociado (incluye comisión de intermediación por transacciones bursátiles o extrabursátiles, contribuciones CAVALI y BVL, impuestos, mantenimientos de cuentas, transferencias interbancarias y otras de similar naturaleza).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tabs>
                <w:tab w:val="left" w:leader="none" w:pos="451"/>
              </w:tabs>
              <w:spacing w:before="5" w:lineRule="auto"/>
              <w:ind w:left="451" w:hanging="35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Comisiones cobradas por fondos de terceros: los fondos mutuos en los que invierte el FONDO cobran comisión de administración y pueden cobrar comisiones de suscripción y/o rescate. Dichas comisiones podrán ir desde 0% a 5% más IGV.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tabs>
                <w:tab w:val="left" w:leader="none" w:pos="451"/>
              </w:tabs>
              <w:spacing w:before="1" w:line="242" w:lineRule="auto"/>
              <w:ind w:left="451" w:right="114" w:hanging="35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Tributos cobrados por la SMV: La tasa de contribución mensual que cobra la SMV asciende a 0.0021% mensual del patrimonio del fondo, lo que equivale a 0.0252% anual aproximadamente, el IGV no aplica sobre la misma. </w:t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660"/>
        </w:tabs>
        <w:ind w:right="-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660"/>
        </w:tabs>
        <w:ind w:right="-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cuadro comparativo con el detalle de la totalidad de las modificaciones se encuentra en nuestra página web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https://fondos.bbva.pe/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desde el 15 de febrero y entrarán en vigencia el día 9 de marzo de 2023.</w:t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660"/>
        </w:tabs>
        <w:ind w:right="-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Si en caso usted no se encuentra conforme con lo expresado, puede rescatar sus cuotas sin cobro de comisión de rescate dentro de los 15 días hábiles contados a partir del día siguiente de la publicación del cambio en nuestra página web.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otro particular, nos despedimos no sin antes agradecer tu confianza. Gracias a ti somos la administradora de fondos mutuos con mayor número de partícipes en el mercado peruano.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Atentamente,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Diego Icaza Pedraz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Gerente General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BBVA Asset Management SA SAF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680.2362204724427" w:top="1275.5905511811022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-381629</wp:posOffset>
          </wp:positionH>
          <wp:positionV relativeFrom="paragraph">
            <wp:posOffset>-201924</wp:posOffset>
          </wp:positionV>
          <wp:extent cx="1866900" cy="52324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523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-"/>
      <w:lvlJc w:val="left"/>
      <w:pPr>
        <w:ind w:left="451" w:hanging="351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370" w:hanging="351"/>
      </w:pPr>
      <w:rPr/>
    </w:lvl>
    <w:lvl w:ilvl="2">
      <w:start w:val="1"/>
      <w:numFmt w:val="bullet"/>
      <w:lvlText w:val="•"/>
      <w:lvlJc w:val="left"/>
      <w:pPr>
        <w:ind w:left="2288" w:hanging="350"/>
      </w:pPr>
      <w:rPr/>
    </w:lvl>
    <w:lvl w:ilvl="3">
      <w:start w:val="1"/>
      <w:numFmt w:val="bullet"/>
      <w:lvlText w:val="•"/>
      <w:lvlJc w:val="left"/>
      <w:pPr>
        <w:ind w:left="3207" w:hanging="351.00000000000045"/>
      </w:pPr>
      <w:rPr/>
    </w:lvl>
    <w:lvl w:ilvl="4">
      <w:start w:val="1"/>
      <w:numFmt w:val="bullet"/>
      <w:lvlText w:val="•"/>
      <w:lvlJc w:val="left"/>
      <w:pPr>
        <w:ind w:left="4126" w:hanging="351"/>
      </w:pPr>
      <w:rPr/>
    </w:lvl>
    <w:lvl w:ilvl="5">
      <w:start w:val="1"/>
      <w:numFmt w:val="bullet"/>
      <w:lvlText w:val="•"/>
      <w:lvlJc w:val="left"/>
      <w:pPr>
        <w:ind w:left="5045" w:hanging="351"/>
      </w:pPr>
      <w:rPr/>
    </w:lvl>
    <w:lvl w:ilvl="6">
      <w:start w:val="1"/>
      <w:numFmt w:val="bullet"/>
      <w:lvlText w:val="•"/>
      <w:lvlJc w:val="left"/>
      <w:pPr>
        <w:ind w:left="5964" w:hanging="351"/>
      </w:pPr>
      <w:rPr/>
    </w:lvl>
    <w:lvl w:ilvl="7">
      <w:start w:val="1"/>
      <w:numFmt w:val="bullet"/>
      <w:lvlText w:val="•"/>
      <w:lvlJc w:val="left"/>
      <w:pPr>
        <w:ind w:left="6883" w:hanging="351.0000000000018"/>
      </w:pPr>
      <w:rPr/>
    </w:lvl>
    <w:lvl w:ilvl="8">
      <w:start w:val="1"/>
      <w:numFmt w:val="bullet"/>
      <w:lvlText w:val="•"/>
      <w:lvlJc w:val="left"/>
      <w:pPr>
        <w:ind w:left="7802" w:hanging="351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451" w:hanging="351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370" w:hanging="351"/>
      </w:pPr>
      <w:rPr/>
    </w:lvl>
    <w:lvl w:ilvl="2">
      <w:start w:val="1"/>
      <w:numFmt w:val="bullet"/>
      <w:lvlText w:val="•"/>
      <w:lvlJc w:val="left"/>
      <w:pPr>
        <w:ind w:left="2288" w:hanging="350"/>
      </w:pPr>
      <w:rPr/>
    </w:lvl>
    <w:lvl w:ilvl="3">
      <w:start w:val="1"/>
      <w:numFmt w:val="bullet"/>
      <w:lvlText w:val="•"/>
      <w:lvlJc w:val="left"/>
      <w:pPr>
        <w:ind w:left="3207" w:hanging="351.00000000000045"/>
      </w:pPr>
      <w:rPr/>
    </w:lvl>
    <w:lvl w:ilvl="4">
      <w:start w:val="1"/>
      <w:numFmt w:val="bullet"/>
      <w:lvlText w:val="•"/>
      <w:lvlJc w:val="left"/>
      <w:pPr>
        <w:ind w:left="4126" w:hanging="351"/>
      </w:pPr>
      <w:rPr/>
    </w:lvl>
    <w:lvl w:ilvl="5">
      <w:start w:val="1"/>
      <w:numFmt w:val="bullet"/>
      <w:lvlText w:val="•"/>
      <w:lvlJc w:val="left"/>
      <w:pPr>
        <w:ind w:left="5045" w:hanging="351"/>
      </w:pPr>
      <w:rPr/>
    </w:lvl>
    <w:lvl w:ilvl="6">
      <w:start w:val="1"/>
      <w:numFmt w:val="bullet"/>
      <w:lvlText w:val="•"/>
      <w:lvlJc w:val="left"/>
      <w:pPr>
        <w:ind w:left="5964" w:hanging="351"/>
      </w:pPr>
      <w:rPr/>
    </w:lvl>
    <w:lvl w:ilvl="7">
      <w:start w:val="1"/>
      <w:numFmt w:val="bullet"/>
      <w:lvlText w:val="•"/>
      <w:lvlJc w:val="left"/>
      <w:pPr>
        <w:ind w:left="6883" w:hanging="351.0000000000018"/>
      </w:pPr>
      <w:rPr/>
    </w:lvl>
    <w:lvl w:ilvl="8">
      <w:start w:val="1"/>
      <w:numFmt w:val="bullet"/>
      <w:lvlText w:val="•"/>
      <w:lvlJc w:val="left"/>
      <w:pPr>
        <w:ind w:left="7802" w:hanging="351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451" w:hanging="351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370" w:hanging="351"/>
      </w:pPr>
      <w:rPr/>
    </w:lvl>
    <w:lvl w:ilvl="2">
      <w:start w:val="1"/>
      <w:numFmt w:val="bullet"/>
      <w:lvlText w:val="•"/>
      <w:lvlJc w:val="left"/>
      <w:pPr>
        <w:ind w:left="2288" w:hanging="350"/>
      </w:pPr>
      <w:rPr/>
    </w:lvl>
    <w:lvl w:ilvl="3">
      <w:start w:val="1"/>
      <w:numFmt w:val="bullet"/>
      <w:lvlText w:val="•"/>
      <w:lvlJc w:val="left"/>
      <w:pPr>
        <w:ind w:left="3207" w:hanging="351.00000000000045"/>
      </w:pPr>
      <w:rPr/>
    </w:lvl>
    <w:lvl w:ilvl="4">
      <w:start w:val="1"/>
      <w:numFmt w:val="bullet"/>
      <w:lvlText w:val="•"/>
      <w:lvlJc w:val="left"/>
      <w:pPr>
        <w:ind w:left="4126" w:hanging="351"/>
      </w:pPr>
      <w:rPr/>
    </w:lvl>
    <w:lvl w:ilvl="5">
      <w:start w:val="1"/>
      <w:numFmt w:val="bullet"/>
      <w:lvlText w:val="•"/>
      <w:lvlJc w:val="left"/>
      <w:pPr>
        <w:ind w:left="5045" w:hanging="351"/>
      </w:pPr>
      <w:rPr/>
    </w:lvl>
    <w:lvl w:ilvl="6">
      <w:start w:val="1"/>
      <w:numFmt w:val="bullet"/>
      <w:lvlText w:val="•"/>
      <w:lvlJc w:val="left"/>
      <w:pPr>
        <w:ind w:left="5964" w:hanging="351"/>
      </w:pPr>
      <w:rPr/>
    </w:lvl>
    <w:lvl w:ilvl="7">
      <w:start w:val="1"/>
      <w:numFmt w:val="bullet"/>
      <w:lvlText w:val="•"/>
      <w:lvlJc w:val="left"/>
      <w:pPr>
        <w:ind w:left="6883" w:hanging="351.0000000000018"/>
      </w:pPr>
      <w:rPr/>
    </w:lvl>
    <w:lvl w:ilvl="8">
      <w:start w:val="1"/>
      <w:numFmt w:val="bullet"/>
      <w:lvlText w:val="•"/>
      <w:lvlJc w:val="left"/>
      <w:pPr>
        <w:ind w:left="7802" w:hanging="35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704F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1" w:customStyle="1">
    <w:basedOn w:val="TableNormal0"/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ndos.bbva.pe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JLY8EWKQAFgbXJjLItF3XnnjCw==">AMUW2mVCJzLrusb6bruarlcQaEzJSLlLZWd7ArvPTBtrlZvmrUhOp735i+DSmGUNDkVRf2b+C2R3RBm7YIhwpPA551usS3/ORlck3kvEqYoEiDXhrkw0EYLT8QtNMEViT57dwWDrnd47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2022-04-11T21:38:00Z</dcterms:created>
  <dc:creator>Asistente</dc:creator>
</cp:coreProperties>
</file>