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ANEXO</w:t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Cuadro Comparativo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560"/>
        </w:tabs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Prospecto Simplificado del fondo BBVA Dólares Monetario FMIV </w:t>
      </w:r>
    </w:p>
    <w:p w:rsidR="00000000" w:rsidDel="00000000" w:rsidP="00000000" w:rsidRDefault="00000000" w:rsidRPr="00000000" w14:paraId="00000005">
      <w:pPr>
        <w:tabs>
          <w:tab w:val="left" w:leader="none" w:pos="7560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4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62"/>
        <w:gridCol w:w="4762"/>
        <w:tblGridChange w:id="0">
          <w:tblGrid>
            <w:gridCol w:w="4762"/>
            <w:gridCol w:w="4762"/>
          </w:tblGrid>
        </w:tblGridChange>
      </w:tblGrid>
      <w:tr>
        <w:trPr>
          <w:cantSplit w:val="0"/>
          <w:trHeight w:val="283" w:hRule="atLeast"/>
          <w:tblHeader w:val="0"/>
        </w:trPr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Texto Actual</w:t>
            </w:r>
          </w:p>
        </w:tc>
        <w:tc>
          <w:tcPr>
            <w:shd w:fill="808080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Nuevo  Texto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BBVA DOLARES MONETARIO FMIV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Fondo Mutuo de Instrumentos de Deuda de Corto Plazo en Dólares 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Prospecto Simplificado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Este documento contiene la información básica, sobre los atributos y riesgos asociados con el fondo mutuo, que el inversionista debe conocer antes de realizar la suscripción de cuotas. De este modo, la decisión sobre la conveniencia o no de invertir es de su exclusiva responsabilidad.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Fecha de entrada en vigencia del documento: 20 de julio de 2021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Inscripción en el RPMV: BBVA Dólares Monetario FMIV (en adelante,” FONDO”) fue inscrito en la SMV mediante Resolución de Gerencia General Nº 073-99- EF/94.11 del 18 de mayo de 1999. 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 un FONDO administrado por BBVA Asset Management SA SAF; y la gestión de los activos del FONDO está a cargo de BBVA Asset Management SA SAF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Plazo de vigencia: Indefinido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BBVA RENTA CORTO PLAZO DOLARES FMIV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Fondo Mutuo de Instrumentos de Deuda de Corto Plazo en Dólares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Prospecto Simplificado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Este documento contiene la información básica, sobre los atributos y riesgos asociados con el fondo mutuo, que el inversionista debe conocer antes de realizar la suscripción de cuotas. De este modo, la decisión sobre la conveniencia o no de invertir es de su exclusiva responsabilidad.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Fecha de entrada en vigencia del documento: 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Inscripción en el RPMV: fue inscrito en la SMV mediante Resolución de Gerencia General Nº 073-99- EF/94.11 del 18 de mayo de 1999. 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Es un FONDO administrado por BBVA Asset Management SA SAF; y la gestión de los activos del FONDO está a cargo de BBVA Asset Management SA SAF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Plazo de vigencia: Indefinido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Objetivos y Política de Inversión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FONDO invierte únicamente en instrumentos de deuda, cuya duración promedio es mayor a noventa (90) días y hasta trescientos sesenta (360) días; predominantemente en dólares e indistintamente en el mercado local o extranjero, el FONDO invertirá por lo menos el 75% del activo total en la moneda de referencia del valor cuota.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FONDO mutuo invertirá en instrumentos de deuda con clasificación de riesgo local entre AAA y A- en el mercado Local, y en instrumentos de deuda de categoría igual o superior a BB- en el mercado internacional. El FONDO podrá invertir en instrumentos de deuda de corto plazo, predominantemente con niveles de riesgo categoría CP-1 y hasta CP-2 en el mercado local, y hasta CP-3 en mercado extranjero.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 acuerdo a su objetivo, el FONDO cuenta con un nivel de riesgo crediticio asociado al riesgo país del domicilio tanto de emisores locales o extranjeros. La inversión se realizará en instrumentos emitidos por instituciones financieras y/o emisores domiciliados en: Brasil, Colombia, Canadá, Chile, Estados Unidos de Norteamérica, México, Paraguay, Panamá, Perú, entre otros. Cumpliendo con las políticas de riesgos y de inversiones del FONDO.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FONDO podrá invertir hasta un 50% del activo total en fondos mutuos y/o de inversión que inviertan el 100% en instrumentos representativos de deuda o derechos sobre acreencias. Los derechos sobre acreencias solo aplicarán en el caso de Fondos de Inversión.</w:t>
            </w:r>
          </w:p>
          <w:p w:rsidR="00000000" w:rsidDel="00000000" w:rsidP="00000000" w:rsidRDefault="00000000" w:rsidRPr="00000000" w14:paraId="0000002B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indicador de comparación de rendimientos será el promedio simple de las tasas de interés para depósitos a plazo en dólares a 180 días de los tres primeros bancos del sistema financiero nacional (en función al tamaño de sus pasivos).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Objetivos y Política de Inversión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BBVA Renta Corto Plazo Dólares FMIV (en adelante, “FONDO”) tiene como objetivo invertir únicamente en instrumentos de deuda, predominantemente en dólares e indistintamente en el mercado local o extranjero, según se indica en la Política de Inversiones. El portafolio de inversiones del FONDO tendrá una duración promedio mayor a noventa (90) días hasta trescientos sesenta (360) días. EL FONDO invertirá por lo menos el 75% del activo total en la moneda de referencia del valor cuota. </w:t>
            </w:r>
          </w:p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FONDO busca mantener una adecuada calidad crediticia, pudiendo mantener hasta el 100% del activo total en instrumentos de deuda con clasificación de riesgo local igual o superior a AA- en el largo plazo, CP-1 en el corto plazo y/o riesgo Estado Peruano. Asimismo, contempla la inversión en instrumentos de deuda con clasificación de riesgo igual o superior a A- en el largo plazo y CP-2 en el corto plazo.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Las inversiones en instrumentos de deuda en el mercado extranjero se realizarán mayoritariamente en instrumentos con clasificaciones de riesgo igual o mejor a BBB- en el largo plazo y CP-2 en el corto plazo, según lo señalado en la política de inversiones. No obstante, también se permite la inversión en instrumentos de deuda con clasificación internacional igual o superior a BB- en el largo plazo y CP-3 en el corto plazo. El FONDO podrá invertir como máximo el 30% del activo total en instrumentos de empresas vinculadas a la sociedad administradora.</w:t>
            </w:r>
          </w:p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FONDO podrá invertir hasta el 100% del activo total en instrumentos representativos de deuda o pasivos como depósitos, papeles comerciales, letras del tesoro, certificados de depósito y/o bonos. El FONDO además podrá invertir hasta el 20% del activo total en cuotas de participación de fondos mutuos y/o fondos de inversión que inviertan en instrumentos representativos de deuda o pasivos y que sean administrados por entidades distintas a la sociedad administradora. Además, podrá invertir hasta el 20% del activo total en Exchange Traded Funds (ETFs) que inviertan en instrumentos representativos de deuda o pasivos. 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 indicador de comparación de rendimientos estará medido por un índice ponderado compuesto en un 30% por el promedio aritmético simple de las tasas de cuentas de Depósito a Plazo a 30 días en dólares de los tres primeros bancos del sistema financiero nacional (en función al tamaño de sus pasivos), 55% por el promedio aritmético simple de las tasas de cuentas de Depósito a Plazo a 180 días en dólares de los tres primeros bancos del sistema financiero nacional y 15% por el rendimiento del índice de bonos corporativos latinoamericanos (Perú, Chile, Colombia, México y Brasil) en dólares con una duración promedio de 3 años.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Comisiones y gastos del fondo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  <w:drawing>
                <wp:inline distB="114300" distT="114300" distL="114300" distR="114300">
                  <wp:extent cx="2924175" cy="927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Incluye la contribución del fondo mutuo a la SMV por 0.0021% mensual del patrimonio del fondo, lo que equivale a 0.0252% anual aproximadamente.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Comisiones y gastos del fondo</w:t>
            </w:r>
          </w:p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  <w:drawing>
                <wp:inline distB="114300" distT="114300" distL="114300" distR="114300">
                  <wp:extent cx="2924175" cy="13081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superscript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La contribución del fondo mutuo a la SMV asciende a 0.0021% mensual del patrimonio del fondo, lo que equivale a 0.0252% anual aproximadamente. Dicha contribución no se encuentra sujeta al IGV.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Rentabilidad histórica</w:t>
            </w:r>
          </w:p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</w:rPr>
              <w:drawing>
                <wp:inline distB="114300" distT="114300" distL="114300" distR="114300">
                  <wp:extent cx="2924175" cy="1739900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73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Rentabilidad histórica(*)</w:t>
            </w:r>
          </w:p>
          <w:p w:rsidR="00000000" w:rsidDel="00000000" w:rsidP="00000000" w:rsidRDefault="00000000" w:rsidRPr="00000000" w14:paraId="00000042">
            <w:pPr>
              <w:spacing w:after="160" w:line="259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114300" distT="114300" distL="114300" distR="114300">
                  <wp:extent cx="2924175" cy="1587500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 El cálculo de la rentabilidad del Índice de comparación incluye el promedio simple de las tasas de interés para depósitos a plazo en dólares a 180 días de los tres primeros bancos del sistema financiero nacional (en función al tamaño de sus pasivos) hasta el año 2022; para el año 2023 en adelante estará medido por un índice ponderado compuesto en un 30% por el promedio aritmético simple de las tasas de cuentas de Depósito a Plazo a 30 días en dólares de los tres primeros bancos del sistema financiero nacional (en función al tamaño de sus pasivos), 55% por el promedio aritmético simple de las tasas de cuentas de Depósito a Plazo a 180 días en dólares de los tres primeros bancos del sistema financiero nacional y 15% por el rendimiento del índice de bonos corporativos latinoamericanos (Perú, Chile, Colombia, México y Brasil) en dólares con una duración promedio de 3 años.</w:t>
            </w:r>
          </w:p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Otros datos de interés: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https://www.bbva.pe/personas/productos/inversiones/fond os-mutuos  </w:t>
            </w:r>
          </w:p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Otros datos de interés:</w:t>
            </w:r>
          </w:p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https://fondos.bbva.pe/</w:t>
            </w:r>
          </w:p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(...)</w:t>
            </w:r>
          </w:p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851" w:top="426" w:left="1276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00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0DDC"/>
    <w:rPr>
      <w:sz w:val="24"/>
      <w:szCs w:val="24"/>
      <w:lang w:eastAsia="es-ES" w:val="es-ES_tradnl"/>
    </w:rPr>
  </w:style>
  <w:style w:type="paragraph" w:styleId="Ttulo1">
    <w:name w:val="heading 1"/>
    <w:basedOn w:val="Normal"/>
    <w:link w:val="Ttulo1Car"/>
    <w:uiPriority w:val="1"/>
    <w:qFormat w:val="1"/>
    <w:rsid w:val="002F3445"/>
    <w:pPr>
      <w:widowControl w:val="0"/>
      <w:ind w:left="100"/>
      <w:outlineLvl w:val="0"/>
    </w:pPr>
    <w:rPr>
      <w:rFonts w:ascii="Arial" w:eastAsia="Arial" w:hAnsi="Arial"/>
      <w:b w:val="1"/>
      <w:bCs w:val="1"/>
      <w:sz w:val="20"/>
      <w:szCs w:val="20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notapie">
    <w:name w:val="footnote text"/>
    <w:basedOn w:val="Normal"/>
    <w:link w:val="TextonotapieCar"/>
    <w:uiPriority w:val="99"/>
    <w:semiHidden w:val="1"/>
    <w:rsid w:val="00540DDC"/>
    <w:rPr>
      <w:sz w:val="20"/>
      <w:szCs w:val="20"/>
      <w:lang w:val="es-ES"/>
    </w:rPr>
  </w:style>
  <w:style w:type="character" w:styleId="Refdenotaalpie">
    <w:name w:val="footnote reference"/>
    <w:uiPriority w:val="99"/>
    <w:semiHidden w:val="1"/>
    <w:rsid w:val="00540DDC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 w:val="1"/>
    <w:rsid w:val="00B0605E"/>
    <w:pPr>
      <w:widowControl w:val="0"/>
      <w:ind w:left="1106"/>
    </w:pPr>
    <w:rPr>
      <w:rFonts w:ascii="Arial" w:eastAsia="Arial" w:hAnsi="Arial"/>
      <w:sz w:val="22"/>
      <w:szCs w:val="22"/>
      <w:lang w:eastAsia="en-US" w:val="en-US"/>
    </w:rPr>
  </w:style>
  <w:style w:type="character" w:styleId="TextoindependienteCar" w:customStyle="1">
    <w:name w:val="Texto independiente Car"/>
    <w:link w:val="Textoindependiente"/>
    <w:uiPriority w:val="1"/>
    <w:rsid w:val="00B0605E"/>
    <w:rPr>
      <w:rFonts w:ascii="Arial" w:cs="Times New Roman" w:eastAsia="Arial" w:hAnsi="Arial"/>
      <w:sz w:val="22"/>
      <w:szCs w:val="22"/>
      <w:lang w:eastAsia="en-US" w:val="en-US"/>
    </w:rPr>
  </w:style>
  <w:style w:type="character" w:styleId="Hipervnculo">
    <w:name w:val="Hyperlink"/>
    <w:rsid w:val="0064323C"/>
    <w:rPr>
      <w:color w:val="0000ff"/>
      <w:u w:val="single"/>
    </w:rPr>
  </w:style>
  <w:style w:type="character" w:styleId="Hipervnculovisitado">
    <w:name w:val="FollowedHyperlink"/>
    <w:rsid w:val="00E63A6D"/>
    <w:rPr>
      <w:color w:val="800080"/>
      <w:u w:val="single"/>
    </w:rPr>
  </w:style>
  <w:style w:type="paragraph" w:styleId="Textonotaalfinal">
    <w:name w:val="endnote text"/>
    <w:basedOn w:val="Normal"/>
    <w:link w:val="TextonotaalfinalCar"/>
    <w:rsid w:val="00515CED"/>
    <w:rPr>
      <w:sz w:val="20"/>
      <w:szCs w:val="20"/>
    </w:rPr>
  </w:style>
  <w:style w:type="character" w:styleId="TextonotaalfinalCar" w:customStyle="1">
    <w:name w:val="Texto nota al final Car"/>
    <w:link w:val="Textonotaalfinal"/>
    <w:rsid w:val="00515CED"/>
    <w:rPr>
      <w:lang w:eastAsia="es-ES" w:val="es-ES_tradnl"/>
    </w:rPr>
  </w:style>
  <w:style w:type="character" w:styleId="Refdenotaalfinal">
    <w:name w:val="endnote reference"/>
    <w:rsid w:val="00515CED"/>
    <w:rPr>
      <w:vertAlign w:val="superscript"/>
    </w:rPr>
  </w:style>
  <w:style w:type="paragraph" w:styleId="Textodeglobo">
    <w:name w:val="Balloon Text"/>
    <w:basedOn w:val="Normal"/>
    <w:link w:val="TextodegloboCar"/>
    <w:rsid w:val="00B419E0"/>
    <w:rPr>
      <w:rFonts w:ascii="Tahoma" w:hAnsi="Tahoma"/>
      <w:sz w:val="16"/>
      <w:szCs w:val="16"/>
    </w:rPr>
  </w:style>
  <w:style w:type="character" w:styleId="TextodegloboCar" w:customStyle="1">
    <w:name w:val="Texto de globo Car"/>
    <w:link w:val="Textodeglobo"/>
    <w:rsid w:val="00B419E0"/>
    <w:rPr>
      <w:rFonts w:ascii="Tahoma" w:cs="Tahoma" w:hAnsi="Tahoma"/>
      <w:sz w:val="16"/>
      <w:szCs w:val="16"/>
      <w:lang w:eastAsia="es-ES" w:val="es-ES_tradnl"/>
    </w:rPr>
  </w:style>
  <w:style w:type="character" w:styleId="Ttulo1Car" w:customStyle="1">
    <w:name w:val="Título 1 Car"/>
    <w:link w:val="Ttulo1"/>
    <w:uiPriority w:val="1"/>
    <w:rsid w:val="002F3445"/>
    <w:rPr>
      <w:rFonts w:ascii="Arial" w:cs="Times New Roman" w:eastAsia="Arial" w:hAnsi="Arial"/>
      <w:b w:val="1"/>
      <w:bCs w:val="1"/>
      <w:lang w:eastAsia="en-US" w:val="en-US"/>
    </w:rPr>
  </w:style>
  <w:style w:type="table" w:styleId="TableNormal1" w:customStyle="1">
    <w:name w:val="Table Normal1"/>
    <w:uiPriority w:val="2"/>
    <w:semiHidden w:val="1"/>
    <w:unhideWhenUsed w:val="1"/>
    <w:qFormat w:val="1"/>
    <w:rsid w:val="00312F3F"/>
    <w:pPr>
      <w:widowControl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312F3F"/>
    <w:pPr>
      <w:widowControl w:val="0"/>
    </w:pPr>
    <w:rPr>
      <w:rFonts w:ascii="Calibri" w:eastAsia="Calibri" w:hAnsi="Calibri"/>
      <w:sz w:val="22"/>
      <w:szCs w:val="22"/>
      <w:lang w:eastAsia="en-US" w:val="en-US"/>
    </w:rPr>
  </w:style>
  <w:style w:type="table" w:styleId="Tablaconcuadrcula">
    <w:name w:val="Table Grid"/>
    <w:basedOn w:val="Tablanormal"/>
    <w:uiPriority w:val="39"/>
    <w:rsid w:val="0008591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E52500"/>
    <w:pPr>
      <w:ind w:left="708"/>
    </w:pPr>
  </w:style>
  <w:style w:type="paragraph" w:styleId="NormalWeb">
    <w:name w:val="Normal (Web)"/>
    <w:basedOn w:val="Normal"/>
    <w:unhideWhenUsed w:val="1"/>
    <w:rsid w:val="0047678B"/>
    <w:pPr>
      <w:spacing w:after="100" w:afterAutospacing="1" w:before="100" w:beforeAutospacing="1"/>
    </w:pPr>
    <w:rPr>
      <w:rFonts w:ascii="Arial Unicode MS" w:cs="Arial Unicode MS" w:eastAsia="Arial Unicode MS" w:hAnsi="Arial Unicode MS"/>
      <w:lang w:val="es-ES"/>
    </w:rPr>
  </w:style>
  <w:style w:type="character" w:styleId="TextonotapieCar" w:customStyle="1">
    <w:name w:val="Texto nota pie Car"/>
    <w:link w:val="Textonotapie"/>
    <w:uiPriority w:val="99"/>
    <w:semiHidden w:val="1"/>
    <w:rsid w:val="0047678B"/>
    <w:rPr>
      <w:lang w:eastAsia="es-ES" w:val="es-ES"/>
    </w:rPr>
  </w:style>
  <w:style w:type="paragraph" w:styleId="Encabezado">
    <w:name w:val="header"/>
    <w:basedOn w:val="Normal"/>
    <w:link w:val="EncabezadoCar"/>
    <w:rsid w:val="002561D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rsid w:val="002561D0"/>
    <w:rPr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rsid w:val="002561D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rsid w:val="002561D0"/>
    <w:rPr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3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ythHP9g1NSMlRHnV3Jvf596o6g==">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2021-05-21T14:01:00Z</dcterms:created>
  <dc:creator>Salinas</dc:creator>
</cp:coreProperties>
</file>