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68" w:lineRule="auto"/>
        <w:ind w:left="100" w:right="1" w:firstLine="0"/>
        <w:jc w:val="center"/>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ANEXO</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68" w:lineRule="auto"/>
        <w:ind w:left="100" w:right="4207" w:firstLine="0"/>
        <w:jc w:val="both"/>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68" w:lineRule="auto"/>
        <w:ind w:left="100" w:right="1" w:firstLine="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BBVA RENTA CORTO PLAZO D</w:t>
      </w:r>
      <w:r w:rsidDel="00000000" w:rsidR="00000000" w:rsidRPr="00000000">
        <w:rPr>
          <w:rFonts w:ascii="Arial" w:cs="Arial" w:eastAsia="Arial" w:hAnsi="Arial"/>
          <w:b w:val="1"/>
          <w:sz w:val="20"/>
          <w:szCs w:val="20"/>
          <w:rtl w:val="0"/>
        </w:rPr>
        <w:t xml:space="preserve">Ó</w:t>
      </w:r>
      <w:r w:rsidDel="00000000" w:rsidR="00000000" w:rsidRPr="00000000">
        <w:rPr>
          <w:rFonts w:ascii="Arial" w:cs="Arial" w:eastAsia="Arial" w:hAnsi="Arial"/>
          <w:b w:val="1"/>
          <w:color w:val="000000"/>
          <w:sz w:val="20"/>
          <w:szCs w:val="20"/>
          <w:rtl w:val="0"/>
        </w:rPr>
        <w:t xml:space="preserve">LARES FMIV (en adelante, “FONDO”)</w:t>
      </w:r>
      <w:r w:rsidDel="00000000" w:rsidR="00000000" w:rsidRPr="00000000">
        <w:rPr>
          <w:rtl w:val="0"/>
        </w:rPr>
      </w:r>
    </w:p>
    <w:p w:rsidR="00000000" w:rsidDel="00000000" w:rsidP="00000000" w:rsidRDefault="00000000" w:rsidRPr="00000000" w14:paraId="00000004">
      <w:pPr>
        <w:spacing w:before="5" w:lineRule="auto"/>
        <w:ind w:left="100" w:right="2135"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Fecha de inicio de vigencia del presente documento: 9 de marzo de 2023</w:t>
      </w:r>
      <w:r w:rsidDel="00000000" w:rsidR="00000000" w:rsidRPr="00000000">
        <w:rPr>
          <w:rtl w:val="0"/>
        </w:rPr>
      </w:r>
    </w:p>
    <w:p w:rsidR="00000000" w:rsidDel="00000000" w:rsidP="00000000" w:rsidRDefault="00000000" w:rsidRPr="00000000" w14:paraId="00000005">
      <w:pPr>
        <w:spacing w:before="13" w:lineRule="auto"/>
        <w:rPr/>
      </w:pPr>
      <w:r w:rsidDel="00000000" w:rsidR="00000000" w:rsidRPr="00000000">
        <w:rPr>
          <w:rtl w:val="0"/>
        </w:rPr>
      </w:r>
    </w:p>
    <w:p w:rsidR="00000000" w:rsidDel="00000000" w:rsidP="00000000" w:rsidRDefault="00000000" w:rsidRPr="00000000" w14:paraId="00000006">
      <w:pPr>
        <w:numPr>
          <w:ilvl w:val="0"/>
          <w:numId w:val="5"/>
        </w:numPr>
        <w:pBdr>
          <w:top w:space="0" w:sz="0" w:val="nil"/>
          <w:left w:space="0" w:sz="0" w:val="nil"/>
          <w:bottom w:space="0" w:sz="0" w:val="nil"/>
          <w:right w:space="0" w:sz="0" w:val="nil"/>
          <w:between w:space="0" w:sz="0" w:val="nil"/>
        </w:pBdr>
        <w:tabs>
          <w:tab w:val="left" w:leader="none" w:pos="280"/>
        </w:tabs>
        <w:ind w:left="280" w:right="5884" w:hanging="1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DATOS GENERALES DEL FONDO:</w:t>
      </w:r>
    </w:p>
    <w:p w:rsidR="00000000" w:rsidDel="00000000" w:rsidP="00000000" w:rsidRDefault="00000000" w:rsidRPr="00000000" w14:paraId="00000007">
      <w:pPr>
        <w:spacing w:before="11" w:lineRule="auto"/>
        <w:rPr/>
      </w:pPr>
      <w:r w:rsidDel="00000000" w:rsidR="00000000" w:rsidRPr="00000000">
        <w:rPr>
          <w:rtl w:val="0"/>
        </w:rPr>
      </w:r>
    </w:p>
    <w:p w:rsidR="00000000" w:rsidDel="00000000" w:rsidP="00000000" w:rsidRDefault="00000000" w:rsidRPr="00000000" w14:paraId="00000008">
      <w:pPr>
        <w:numPr>
          <w:ilvl w:val="1"/>
          <w:numId w:val="5"/>
        </w:numPr>
        <w:pBdr>
          <w:top w:space="0" w:sz="0" w:val="nil"/>
          <w:left w:space="0" w:sz="0" w:val="nil"/>
          <w:bottom w:space="0" w:sz="0" w:val="nil"/>
          <w:right w:space="0" w:sz="0" w:val="nil"/>
          <w:between w:space="0" w:sz="0" w:val="nil"/>
        </w:pBdr>
        <w:tabs>
          <w:tab w:val="left" w:leader="none" w:pos="792"/>
        </w:tabs>
        <w:ind w:left="792" w:right="1" w:hanging="69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Denominación: BBVA Renta Corto Plazo Dólares FMIV</w:t>
      </w:r>
    </w:p>
    <w:p w:rsidR="00000000" w:rsidDel="00000000" w:rsidP="00000000" w:rsidRDefault="00000000" w:rsidRPr="00000000" w14:paraId="00000009">
      <w:pPr>
        <w:numPr>
          <w:ilvl w:val="1"/>
          <w:numId w:val="5"/>
        </w:numPr>
        <w:pBdr>
          <w:top w:space="0" w:sz="0" w:val="nil"/>
          <w:left w:space="0" w:sz="0" w:val="nil"/>
          <w:bottom w:space="0" w:sz="0" w:val="nil"/>
          <w:right w:space="0" w:sz="0" w:val="nil"/>
          <w:between w:space="0" w:sz="0" w:val="nil"/>
        </w:pBdr>
        <w:tabs>
          <w:tab w:val="left" w:leader="none" w:pos="792"/>
        </w:tabs>
        <w:spacing w:before="5" w:lineRule="auto"/>
        <w:ind w:left="792" w:right="1895" w:hanging="69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Tipo: Fondo Mutuo de Instrumentos de Deuda de Corto Plazo en Dólares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3" w:lineRule="auto"/>
        <w:ind w:left="100" w:right="4015"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1.2.1    Moneda del Valor Cuota: US$ Dólares Americanos</w:t>
      </w:r>
    </w:p>
    <w:p w:rsidR="00000000" w:rsidDel="00000000" w:rsidP="00000000" w:rsidRDefault="00000000" w:rsidRPr="00000000" w14:paraId="0000000B">
      <w:pPr>
        <w:numPr>
          <w:ilvl w:val="1"/>
          <w:numId w:val="5"/>
        </w:numPr>
        <w:pBdr>
          <w:top w:space="0" w:sz="0" w:val="nil"/>
          <w:left w:space="0" w:sz="0" w:val="nil"/>
          <w:bottom w:space="0" w:sz="0" w:val="nil"/>
          <w:right w:space="0" w:sz="0" w:val="nil"/>
          <w:between w:space="0" w:sz="0" w:val="nil"/>
        </w:pBdr>
        <w:tabs>
          <w:tab w:val="left" w:leader="none" w:pos="792"/>
        </w:tabs>
        <w:spacing w:before="5" w:line="245" w:lineRule="auto"/>
        <w:ind w:left="792" w:right="1300" w:hanging="69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Sociedad Administradora: BBVA Asset Management S.A. SAF</w:t>
      </w:r>
    </w:p>
    <w:p w:rsidR="00000000" w:rsidDel="00000000" w:rsidP="00000000" w:rsidRDefault="00000000" w:rsidRPr="00000000" w14:paraId="0000000C">
      <w:pPr>
        <w:numPr>
          <w:ilvl w:val="1"/>
          <w:numId w:val="5"/>
        </w:numPr>
        <w:pBdr>
          <w:top w:space="0" w:sz="0" w:val="nil"/>
          <w:left w:space="0" w:sz="0" w:val="nil"/>
          <w:bottom w:space="0" w:sz="0" w:val="nil"/>
          <w:right w:space="0" w:sz="0" w:val="nil"/>
          <w:between w:space="0" w:sz="0" w:val="nil"/>
        </w:pBdr>
        <w:tabs>
          <w:tab w:val="left" w:leader="none" w:pos="792"/>
        </w:tabs>
        <w:spacing w:line="239" w:lineRule="auto"/>
        <w:ind w:left="792" w:right="5502" w:hanging="69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Custodio: BBVA </w:t>
      </w:r>
    </w:p>
    <w:p w:rsidR="00000000" w:rsidDel="00000000" w:rsidP="00000000" w:rsidRDefault="00000000" w:rsidRPr="00000000" w14:paraId="0000000D">
      <w:pPr>
        <w:numPr>
          <w:ilvl w:val="1"/>
          <w:numId w:val="5"/>
        </w:numPr>
        <w:pBdr>
          <w:top w:space="0" w:sz="0" w:val="nil"/>
          <w:left w:space="0" w:sz="0" w:val="nil"/>
          <w:bottom w:space="0" w:sz="0" w:val="nil"/>
          <w:right w:space="0" w:sz="0" w:val="nil"/>
          <w:between w:space="0" w:sz="0" w:val="nil"/>
        </w:pBdr>
        <w:tabs>
          <w:tab w:val="left" w:leader="none" w:pos="792"/>
        </w:tabs>
        <w:spacing w:before="5" w:lineRule="auto"/>
        <w:ind w:left="792" w:right="6025" w:hanging="692"/>
        <w:jc w:val="both"/>
        <w:rPr>
          <w:rFonts w:ascii="Arial" w:cs="Arial" w:eastAsia="Arial" w:hAnsi="Arial"/>
          <w:color w:val="000000"/>
          <w:sz w:val="20"/>
          <w:szCs w:val="20"/>
        </w:rPr>
      </w:pPr>
      <w:bookmarkStart w:colFirst="0" w:colLast="0" w:name="_heading=h.gjdgxs" w:id="0"/>
      <w:bookmarkEnd w:id="0"/>
      <w:r w:rsidDel="00000000" w:rsidR="00000000" w:rsidRPr="00000000">
        <w:rPr>
          <w:rFonts w:ascii="Arial" w:cs="Arial" w:eastAsia="Arial" w:hAnsi="Arial"/>
          <w:color w:val="000000"/>
          <w:sz w:val="20"/>
          <w:szCs w:val="20"/>
          <w:rtl w:val="0"/>
        </w:rPr>
        <w:t xml:space="preserve">Plazo de Vigencia: Indefinido.</w:t>
      </w:r>
    </w:p>
    <w:p w:rsidR="00000000" w:rsidDel="00000000" w:rsidP="00000000" w:rsidRDefault="00000000" w:rsidRPr="00000000" w14:paraId="0000000E">
      <w:pPr>
        <w:spacing w:line="200" w:lineRule="auto"/>
        <w:rPr>
          <w:sz w:val="18"/>
          <w:szCs w:val="18"/>
        </w:rPr>
      </w:pPr>
      <w:r w:rsidDel="00000000" w:rsidR="00000000" w:rsidRPr="00000000">
        <w:rPr>
          <w:rtl w:val="0"/>
        </w:rPr>
      </w:r>
    </w:p>
    <w:p w:rsidR="00000000" w:rsidDel="00000000" w:rsidP="00000000" w:rsidRDefault="00000000" w:rsidRPr="00000000" w14:paraId="0000000F">
      <w:pPr>
        <w:spacing w:before="18" w:line="280" w:lineRule="auto"/>
        <w:rPr>
          <w:sz w:val="24"/>
          <w:szCs w:val="24"/>
        </w:rPr>
      </w:pPr>
      <w:r w:rsidDel="00000000" w:rsidR="00000000" w:rsidRPr="00000000">
        <w:rPr>
          <w:rtl w:val="0"/>
        </w:rPr>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tabs>
          <w:tab w:val="left" w:leader="none" w:pos="280"/>
        </w:tabs>
        <w:ind w:left="280" w:right="6585" w:hanging="1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INVERSIONES DEL FONDO</w:t>
      </w:r>
    </w:p>
    <w:p w:rsidR="00000000" w:rsidDel="00000000" w:rsidP="00000000" w:rsidRDefault="00000000" w:rsidRPr="00000000" w14:paraId="00000011">
      <w:pPr>
        <w:spacing w:before="8" w:lineRule="auto"/>
        <w:rPr/>
      </w:pPr>
      <w:r w:rsidDel="00000000" w:rsidR="00000000" w:rsidRPr="00000000">
        <w:rPr>
          <w:rtl w:val="0"/>
        </w:rPr>
      </w:r>
    </w:p>
    <w:p w:rsidR="00000000" w:rsidDel="00000000" w:rsidP="00000000" w:rsidRDefault="00000000" w:rsidRPr="00000000" w14:paraId="00000012">
      <w:pPr>
        <w:numPr>
          <w:ilvl w:val="1"/>
          <w:numId w:val="4"/>
        </w:numPr>
        <w:pBdr>
          <w:top w:space="0" w:sz="0" w:val="nil"/>
          <w:left w:space="0" w:sz="0" w:val="nil"/>
          <w:bottom w:space="0" w:sz="0" w:val="nil"/>
          <w:right w:space="0" w:sz="0" w:val="nil"/>
          <w:between w:space="0" w:sz="0" w:val="nil"/>
        </w:pBdr>
        <w:tabs>
          <w:tab w:val="left" w:leader="none" w:pos="458"/>
        </w:tabs>
        <w:ind w:left="458" w:right="6741" w:hanging="358"/>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El Objetivo de Inversión</w:t>
      </w:r>
      <w:r w:rsidDel="00000000" w:rsidR="00000000" w:rsidRPr="00000000">
        <w:rPr>
          <w:rtl w:val="0"/>
        </w:rPr>
      </w:r>
    </w:p>
    <w:p w:rsidR="00000000" w:rsidDel="00000000" w:rsidP="00000000" w:rsidRDefault="00000000" w:rsidRPr="00000000" w14:paraId="00000013">
      <w:pPr>
        <w:spacing w:before="13" w:lineRule="auto"/>
        <w:rPr>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4" w:lineRule="auto"/>
        <w:ind w:left="100" w:right="112" w:firstLine="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BBVA Renta Corto Plazo Dólares FMIV (en adelante, “FONDO”) tiene como objetivo invertir únicamente en instrumentos de deuda, predominantemente en dólares e indistintamente en el mercado local o extranjero, según se indica en la Política de Inversiones. El portafolio de inversiones del FONDO tendrá una duración promedio mayor a noventa (90) días hasta trescientos sesenta (360) días.</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4" w:lineRule="auto"/>
        <w:ind w:left="100" w:right="112"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4" w:lineRule="auto"/>
        <w:ind w:left="100" w:right="112" w:firstLine="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El FONDO busca mantener una adecuada calidad crediticia, pudiendo mantener hasta el 100% del activo total en instrumentos de deuda con clasificación de riesgo local igual o superior a AA- en el largo plazo, CP-1 en el corto plazo y/o riesgo Estado Peruano. Asimismo, la política de inversiones contempla la inversión en instrumentos de deuda con clasificación de riesgo igual o superior a A- en el largo plazo y CP-2 en el corto plazo. </w:t>
      </w:r>
      <w:r w:rsidDel="00000000" w:rsidR="00000000" w:rsidRPr="00000000">
        <w:rPr>
          <w:rFonts w:ascii="Arial" w:cs="Arial" w:eastAsia="Arial" w:hAnsi="Arial"/>
          <w:sz w:val="20"/>
          <w:szCs w:val="20"/>
          <w:rtl w:val="0"/>
        </w:rPr>
        <w:t xml:space="preserve">Las inversiones en instrumentos de deuda en el mercado extranjero se realizarán mayoritariamente en instrumentos con clasificaciones de riesgo igual o mejor a BBB- en el largo plazo y CP-2 en el corto plazo, según lo señalado en la política de inversiones. No obstante, también se permite la inversión en instrumentos de deuda con clasificación internacional igual o superior a BB- en el largo plazo y CP-3 en el corto plazo. El FONDO podrá invertir como máximo el 30% del activo total en instrumentos de empresas vinculadas a la sociedad administradora.</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4" w:lineRule="auto"/>
        <w:ind w:right="11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44" w:lineRule="auto"/>
        <w:ind w:left="100" w:right="112"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FONDO podrá invertir hasta el 100% del activo total en instrumentos representativos de deuda o pasivos como depósitos, papeles comerciales, letras del tesoro, certificados de depósito y/o bonos. El FONDO además podrá invertir hasta el 20% del activo total en cuotas de participación de fondos mutuos y/o fondos de inversión que inviertan en instrumentos representativos de deuda o pasivos y que sean administrados por entidades distintas a la sociedad administradora. Además, podrá invertir hasta el 20% del activo total en Exchange Traded Funds (ETFs) que inviertan en instrumentos representativos de deuda o pasivos.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4" w:lineRule="auto"/>
        <w:ind w:left="100" w:right="112"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4" w:lineRule="auto"/>
        <w:ind w:left="100" w:right="112" w:firstLine="0"/>
        <w:jc w:val="both"/>
        <w:rPr>
          <w:rFonts w:ascii="Arial" w:cs="Arial" w:eastAsia="Arial" w:hAnsi="Arial"/>
          <w:color w:val="000000"/>
          <w:sz w:val="20"/>
          <w:szCs w:val="20"/>
        </w:rPr>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280" w:top="1600" w:left="1260" w:right="1000" w:header="720" w:footer="720"/>
          <w:pgNumType w:start="1"/>
        </w:sectPr>
      </w:pPr>
      <w:r w:rsidDel="00000000" w:rsidR="00000000" w:rsidRPr="00000000">
        <w:rPr>
          <w:rFonts w:ascii="Arial" w:cs="Arial" w:eastAsia="Arial" w:hAnsi="Arial"/>
          <w:color w:val="000000"/>
          <w:sz w:val="20"/>
          <w:szCs w:val="20"/>
          <w:highlight w:val="white"/>
          <w:rtl w:val="0"/>
        </w:rPr>
        <w:t xml:space="preserve">El FONDO tendrá un nivel de apalancamiento de 0% del activo total. El FONDO podrá invertir en instrumentos derivados solo con fines de cobertura, de acuerdo a lo señalado en la sección 2.2 Política de Inversiones en el Anexo del Reglamento de Participación. La inversión en instrumentos derivados tiene como fin cubrir el portafolio ante movimientos adversos en las tasas de interés y/o cotización de otras monedas diferentes a la moneda del valor cuota del FONDO. Este FONDO puede no ser adecuado para inversiones en las que se prevea retirar el dinero en un plazo inferior a seis (6) meses.</w:t>
      </w:r>
      <w:r w:rsidDel="00000000" w:rsidR="00000000" w:rsidRPr="00000000">
        <w:rPr>
          <w:rtl w:val="0"/>
        </w:rPr>
      </w:r>
    </w:p>
    <w:p w:rsidR="00000000" w:rsidDel="00000000" w:rsidP="00000000" w:rsidRDefault="00000000" w:rsidRPr="00000000" w14:paraId="0000001B">
      <w:pPr>
        <w:numPr>
          <w:ilvl w:val="1"/>
          <w:numId w:val="4"/>
        </w:numPr>
        <w:pBdr>
          <w:top w:space="0" w:sz="0" w:val="nil"/>
          <w:left w:space="0" w:sz="0" w:val="nil"/>
          <w:bottom w:space="0" w:sz="0" w:val="nil"/>
          <w:right w:space="0" w:sz="0" w:val="nil"/>
          <w:between w:space="0" w:sz="0" w:val="nil"/>
        </w:pBdr>
        <w:tabs>
          <w:tab w:val="left" w:leader="none" w:pos="458"/>
        </w:tabs>
        <w:spacing w:before="68" w:lineRule="auto"/>
        <w:ind w:left="458" w:right="5383" w:hanging="358"/>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Política de Inversiones de EL FONDO</w:t>
      </w:r>
      <w:r w:rsidDel="00000000" w:rsidR="00000000" w:rsidRPr="00000000">
        <w:rPr>
          <w:rtl w:val="0"/>
        </w:rPr>
      </w:r>
    </w:p>
    <w:p w:rsidR="00000000" w:rsidDel="00000000" w:rsidP="00000000" w:rsidRDefault="00000000" w:rsidRPr="00000000" w14:paraId="0000001C">
      <w:pPr>
        <w:spacing w:before="13" w:lineRule="auto"/>
        <w:rPr>
          <w:sz w:val="2"/>
          <w:szCs w:val="2"/>
        </w:rPr>
      </w:pPr>
      <w:r w:rsidDel="00000000" w:rsidR="00000000" w:rsidRPr="00000000">
        <w:rPr>
          <w:rtl w:val="0"/>
        </w:rPr>
      </w:r>
    </w:p>
    <w:tbl>
      <w:tblPr>
        <w:tblStyle w:val="Table1"/>
        <w:tblW w:w="8593.0" w:type="dxa"/>
        <w:jc w:val="left"/>
        <w:tblInd w:w="331.0" w:type="dxa"/>
        <w:tblLayout w:type="fixed"/>
        <w:tblLook w:val="0000"/>
      </w:tblPr>
      <w:tblGrid>
        <w:gridCol w:w="6337"/>
        <w:gridCol w:w="1128"/>
        <w:gridCol w:w="1128"/>
        <w:tblGridChange w:id="0">
          <w:tblGrid>
            <w:gridCol w:w="6337"/>
            <w:gridCol w:w="1128"/>
            <w:gridCol w:w="1128"/>
          </w:tblGrid>
        </w:tblGridChange>
      </w:tblGrid>
      <w:tr>
        <w:trPr>
          <w:cantSplit w:val="0"/>
          <w:trHeight w:val="734" w:hRule="atLeast"/>
          <w:tblHeader w:val="0"/>
        </w:trPr>
        <w:tc>
          <w:tcPr>
            <w:tcBorders>
              <w:top w:color="000000" w:space="0" w:sz="6" w:val="single"/>
              <w:left w:color="000000" w:space="0" w:sz="6" w:val="single"/>
              <w:bottom w:color="000000" w:space="0" w:sz="6" w:val="single"/>
              <w:right w:color="000000" w:space="0" w:sz="5" w:val="single"/>
            </w:tcBorders>
            <w:shd w:fill="7c7c7c" w:val="cle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104" w:lineRule="auto"/>
              <w:jc w:val="cente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POLÍTICA DE INVERSIONES</w:t>
            </w:r>
          </w:p>
        </w:tc>
        <w:tc>
          <w:tcPr>
            <w:tcBorders>
              <w:top w:color="000000" w:space="0" w:sz="6" w:val="single"/>
              <w:left w:color="000000" w:space="0" w:sz="5" w:val="single"/>
              <w:bottom w:color="000000" w:space="0" w:sz="6" w:val="single"/>
              <w:right w:color="000000" w:space="0" w:sz="5" w:val="single"/>
            </w:tcBorders>
            <w:shd w:fill="7c7c7c" w:val="clea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02" w:lineRule="auto"/>
              <w:ind w:left="91" w:firstLine="0"/>
              <w:jc w:val="center"/>
              <w:rPr>
                <w:rFonts w:ascii="Arial" w:cs="Arial" w:eastAsia="Arial" w:hAnsi="Arial"/>
                <w:color w:val="ffffff"/>
                <w:sz w:val="16"/>
                <w:szCs w:val="16"/>
              </w:rPr>
            </w:pPr>
            <w:r w:rsidDel="00000000" w:rsidR="00000000" w:rsidRPr="00000000">
              <w:rPr>
                <w:rFonts w:ascii="Arial" w:cs="Arial" w:eastAsia="Arial" w:hAnsi="Arial"/>
                <w:color w:val="ffffff"/>
                <w:sz w:val="16"/>
                <w:szCs w:val="16"/>
                <w:rtl w:val="0"/>
              </w:rPr>
              <w:t xml:space="preserve">% MIN sobre el total del activo</w:t>
            </w:r>
          </w:p>
        </w:tc>
        <w:tc>
          <w:tcPr>
            <w:tcBorders>
              <w:top w:color="000000" w:space="0" w:sz="6" w:val="single"/>
              <w:left w:color="000000" w:space="0" w:sz="5" w:val="single"/>
              <w:bottom w:color="000000" w:space="0" w:sz="6" w:val="single"/>
              <w:right w:color="000000" w:space="0" w:sz="5" w:val="single"/>
            </w:tcBorders>
            <w:shd w:fill="7c7c7c" w:val="clea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02" w:lineRule="auto"/>
              <w:ind w:left="91" w:firstLine="0"/>
              <w:jc w:val="center"/>
              <w:rPr>
                <w:rFonts w:ascii="Arial" w:cs="Arial" w:eastAsia="Arial" w:hAnsi="Arial"/>
                <w:color w:val="ffffff"/>
                <w:sz w:val="16"/>
                <w:szCs w:val="16"/>
              </w:rPr>
            </w:pPr>
            <w:r w:rsidDel="00000000" w:rsidR="00000000" w:rsidRPr="00000000">
              <w:rPr>
                <w:rFonts w:ascii="Arial" w:cs="Arial" w:eastAsia="Arial" w:hAnsi="Arial"/>
                <w:color w:val="ffffff"/>
                <w:sz w:val="16"/>
                <w:szCs w:val="16"/>
                <w:rtl w:val="0"/>
              </w:rPr>
              <w:t xml:space="preserve">% MAX sobre el total del activo</w:t>
            </w:r>
          </w:p>
        </w:tc>
      </w:tr>
      <w:tr>
        <w:trPr>
          <w:cantSplit w:val="0"/>
          <w:trHeight w:val="265" w:hRule="atLeast"/>
          <w:tblHeader w:val="0"/>
        </w:trPr>
        <w:tc>
          <w:tcPr>
            <w:tcBorders>
              <w:top w:color="000000" w:space="0" w:sz="6" w:val="single"/>
              <w:left w:color="000000" w:space="0" w:sz="6" w:val="single"/>
              <w:bottom w:color="000000" w:space="0" w:sz="6" w:val="single"/>
              <w:right w:color="000000" w:space="0" w:sz="5" w:val="single"/>
            </w:tcBorders>
            <w:shd w:fill="c0c0c0"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35" w:lineRule="auto"/>
              <w:ind w:left="-4" w:firstLine="0"/>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SEGÚN TIPO DE INSTRUMENTOS</w:t>
            </w: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shd w:fill="c0c0c0" w:val="clear"/>
          </w:tcPr>
          <w:p w:rsidR="00000000" w:rsidDel="00000000" w:rsidP="00000000" w:rsidRDefault="00000000" w:rsidRPr="00000000" w14:paraId="00000021">
            <w:pPr>
              <w:rPr/>
            </w:pP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shd w:fill="c0c0c0" w:val="clear"/>
          </w:tcPr>
          <w:p w:rsidR="00000000" w:rsidDel="00000000" w:rsidP="00000000" w:rsidRDefault="00000000" w:rsidRPr="00000000" w14:paraId="00000022">
            <w:pPr>
              <w:rPr/>
            </w:pPr>
            <w:r w:rsidDel="00000000" w:rsidR="00000000" w:rsidRPr="00000000">
              <w:rPr>
                <w:rtl w:val="0"/>
              </w:rPr>
            </w:r>
          </w:p>
        </w:tc>
      </w:tr>
      <w:tr>
        <w:trPr>
          <w:cantSplit w:val="0"/>
          <w:trHeight w:val="271"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33" w:lineRule="auto"/>
              <w:ind w:left="-4" w:firstLine="0"/>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Instrumentos representativos de deuda o pasivos</w:t>
            </w: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38"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100%</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38"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100%</w:t>
            </w:r>
          </w:p>
        </w:tc>
      </w:tr>
      <w:tr>
        <w:trPr>
          <w:cantSplit w:val="0"/>
          <w:trHeight w:val="266" w:hRule="atLeast"/>
          <w:tblHeader w:val="0"/>
        </w:trPr>
        <w:tc>
          <w:tcPr>
            <w:tcBorders>
              <w:top w:color="000000" w:space="0" w:sz="6" w:val="single"/>
              <w:left w:color="000000" w:space="0" w:sz="6" w:val="single"/>
              <w:bottom w:color="000000" w:space="0" w:sz="6" w:val="single"/>
              <w:right w:color="000000" w:space="0" w:sz="5" w:val="single"/>
            </w:tcBorders>
            <w:vAlign w:val="center"/>
          </w:tcPr>
          <w:p w:rsidR="00000000" w:rsidDel="00000000" w:rsidP="00000000" w:rsidRDefault="00000000" w:rsidRPr="00000000" w14:paraId="00000026">
            <w:pPr>
              <w:spacing w:line="248.00000000000006" w:lineRule="auto"/>
              <w:ind w:left="56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Depósitos, Papeles Comerciales, Letras del Tesoro, Certificados de Depósito y/o Bonos</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27">
            <w:pPr>
              <w:spacing w:before="37" w:lineRule="auto"/>
              <w:ind w:right="-12" w:firstLine="3"/>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28">
            <w:pPr>
              <w:spacing w:before="37" w:lineRule="auto"/>
              <w:ind w:right="-12" w:firstLine="3"/>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100%</w:t>
            </w:r>
          </w:p>
        </w:tc>
      </w:tr>
      <w:tr>
        <w:trPr>
          <w:cantSplit w:val="0"/>
          <w:trHeight w:val="180" w:hRule="atLeast"/>
          <w:tblHeader w:val="0"/>
        </w:trPr>
        <w:tc>
          <w:tcPr>
            <w:tcBorders>
              <w:top w:color="000000" w:space="0" w:sz="6" w:val="single"/>
              <w:left w:color="000000" w:space="0" w:sz="6" w:val="single"/>
              <w:bottom w:color="000000" w:space="0" w:sz="6" w:val="single"/>
              <w:right w:color="000000" w:space="0" w:sz="5" w:val="single"/>
            </w:tcBorders>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8.00000000000006" w:lineRule="auto"/>
              <w:ind w:left="566" w:firstLine="0"/>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Cuotas de fondos mutuos y/o  fondos de inversión</w:t>
            </w: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37"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37"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2</w:t>
            </w:r>
            <w:r w:rsidDel="00000000" w:rsidR="00000000" w:rsidRPr="00000000">
              <w:rPr>
                <w:rFonts w:ascii="Arial" w:cs="Arial" w:eastAsia="Arial" w:hAnsi="Arial"/>
                <w:color w:val="000000"/>
                <w:sz w:val="18"/>
                <w:szCs w:val="18"/>
                <w:rtl w:val="0"/>
              </w:rPr>
              <w:t xml:space="preserve">0%</w:t>
            </w:r>
          </w:p>
        </w:tc>
      </w:tr>
      <w:tr>
        <w:trPr>
          <w:cantSplit w:val="0"/>
          <w:trHeight w:val="266" w:hRule="atLeast"/>
          <w:tblHeader w:val="0"/>
        </w:trPr>
        <w:tc>
          <w:tcPr>
            <w:tcBorders>
              <w:top w:color="000000" w:space="0" w:sz="6" w:val="single"/>
              <w:left w:color="000000" w:space="0" w:sz="6" w:val="single"/>
              <w:bottom w:color="000000" w:space="0" w:sz="6" w:val="single"/>
              <w:right w:color="000000" w:space="0" w:sz="5" w:val="single"/>
            </w:tcBorders>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8.00000000000006" w:lineRule="auto"/>
              <w:ind w:left="566"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Exchange Traded Funds (ETFs)</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37"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37"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2</w:t>
            </w:r>
            <w:r w:rsidDel="00000000" w:rsidR="00000000" w:rsidRPr="00000000">
              <w:rPr>
                <w:rFonts w:ascii="Arial" w:cs="Arial" w:eastAsia="Arial" w:hAnsi="Arial"/>
                <w:color w:val="000000"/>
                <w:sz w:val="18"/>
                <w:szCs w:val="18"/>
                <w:rtl w:val="0"/>
              </w:rPr>
              <w:t xml:space="preserve">0%</w:t>
            </w:r>
          </w:p>
        </w:tc>
      </w:tr>
      <w:tr>
        <w:trPr>
          <w:cantSplit w:val="0"/>
          <w:trHeight w:val="266"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8.00000000000006" w:lineRule="auto"/>
              <w:ind w:left="-2" w:firstLine="0"/>
              <w:rPr>
                <w:rFonts w:ascii="Arial" w:cs="Arial" w:eastAsia="Arial" w:hAnsi="Arial"/>
                <w:color w:val="000000"/>
                <w:sz w:val="18"/>
                <w:szCs w:val="18"/>
              </w:rPr>
            </w:pP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37" w:lineRule="auto"/>
              <w:ind w:right="-12" w:firstLine="3"/>
              <w:jc w:val="center"/>
              <w:rPr>
                <w:rFonts w:ascii="Arial" w:cs="Arial" w:eastAsia="Arial" w:hAnsi="Arial"/>
                <w:color w:val="000000"/>
                <w:sz w:val="18"/>
                <w:szCs w:val="18"/>
              </w:rPr>
            </w:pP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37" w:lineRule="auto"/>
              <w:ind w:right="-12" w:firstLine="3"/>
              <w:jc w:val="center"/>
              <w:rPr>
                <w:rFonts w:ascii="Arial" w:cs="Arial" w:eastAsia="Arial" w:hAnsi="Arial"/>
                <w:color w:val="000000"/>
                <w:sz w:val="18"/>
                <w:szCs w:val="18"/>
              </w:rPr>
            </w:pPr>
            <w:r w:rsidDel="00000000" w:rsidR="00000000" w:rsidRPr="00000000">
              <w:rPr>
                <w:rtl w:val="0"/>
              </w:rPr>
            </w:r>
          </w:p>
        </w:tc>
      </w:tr>
      <w:tr>
        <w:trPr>
          <w:cantSplit w:val="0"/>
          <w:trHeight w:val="254" w:hRule="atLeast"/>
          <w:tblHeader w:val="0"/>
        </w:trPr>
        <w:tc>
          <w:tcPr>
            <w:tcBorders>
              <w:top w:color="000000" w:space="0" w:sz="6" w:val="single"/>
              <w:left w:color="000000" w:space="0" w:sz="6" w:val="single"/>
              <w:bottom w:color="000000" w:space="0" w:sz="6" w:val="single"/>
              <w:right w:color="000000" w:space="0" w:sz="5" w:val="single"/>
            </w:tcBorders>
            <w:shd w:fill="c0c0c0" w:val="clea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24" w:lineRule="auto"/>
              <w:ind w:left="-4" w:firstLine="0"/>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SEGÚN MONEDA</w:t>
            </w: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shd w:fill="c0c0c0" w:val="clear"/>
            <w:vAlign w:val="center"/>
          </w:tcPr>
          <w:p w:rsidR="00000000" w:rsidDel="00000000" w:rsidP="00000000" w:rsidRDefault="00000000" w:rsidRPr="00000000" w14:paraId="00000033">
            <w:pPr>
              <w:ind w:right="-12" w:firstLine="3"/>
              <w:jc w:val="center"/>
              <w:rPr>
                <w:sz w:val="18"/>
                <w:szCs w:val="18"/>
              </w:rPr>
            </w:pP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shd w:fill="c0c0c0" w:val="clear"/>
            <w:vAlign w:val="center"/>
          </w:tcPr>
          <w:p w:rsidR="00000000" w:rsidDel="00000000" w:rsidP="00000000" w:rsidRDefault="00000000" w:rsidRPr="00000000" w14:paraId="00000034">
            <w:pPr>
              <w:ind w:right="-12" w:firstLine="3"/>
              <w:jc w:val="center"/>
              <w:rPr>
                <w:sz w:val="18"/>
                <w:szCs w:val="18"/>
              </w:rPr>
            </w:pPr>
            <w:r w:rsidDel="00000000" w:rsidR="00000000" w:rsidRPr="00000000">
              <w:rPr>
                <w:rtl w:val="0"/>
              </w:rPr>
            </w:r>
          </w:p>
        </w:tc>
      </w:tr>
      <w:tr>
        <w:trPr>
          <w:cantSplit w:val="0"/>
          <w:trHeight w:val="274"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35" w:lineRule="auto"/>
              <w:ind w:left="-4"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Inversiones en moneda del valor cuota</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37"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75%</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37"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100%</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27" w:lineRule="auto"/>
              <w:ind w:left="-4"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Inversiones en moneda distinta al valor cuota</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29"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29"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25%</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3B">
            <w:pPr>
              <w:rPr/>
            </w:pP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3C">
            <w:pPr>
              <w:ind w:right="-12" w:firstLine="3"/>
              <w:jc w:val="center"/>
              <w:rPr>
                <w:sz w:val="18"/>
                <w:szCs w:val="18"/>
              </w:rPr>
            </w:pP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3D">
            <w:pPr>
              <w:ind w:right="-12" w:firstLine="3"/>
              <w:jc w:val="center"/>
              <w:rPr>
                <w:sz w:val="18"/>
                <w:szCs w:val="18"/>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5" w:val="single"/>
            </w:tcBorders>
            <w:shd w:fill="c0c0c0"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24" w:lineRule="auto"/>
              <w:ind w:left="-4" w:firstLine="0"/>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SEGÚN MERCADO</w:t>
            </w: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shd w:fill="c0c0c0" w:val="clear"/>
            <w:vAlign w:val="center"/>
          </w:tcPr>
          <w:p w:rsidR="00000000" w:rsidDel="00000000" w:rsidP="00000000" w:rsidRDefault="00000000" w:rsidRPr="00000000" w14:paraId="0000003F">
            <w:pPr>
              <w:ind w:right="-12" w:firstLine="3"/>
              <w:jc w:val="center"/>
              <w:rPr>
                <w:sz w:val="18"/>
                <w:szCs w:val="18"/>
              </w:rPr>
            </w:pP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shd w:fill="c0c0c0" w:val="clear"/>
            <w:vAlign w:val="center"/>
          </w:tcPr>
          <w:p w:rsidR="00000000" w:rsidDel="00000000" w:rsidP="00000000" w:rsidRDefault="00000000" w:rsidRPr="00000000" w14:paraId="00000040">
            <w:pPr>
              <w:ind w:right="-12" w:firstLine="3"/>
              <w:jc w:val="center"/>
              <w:rPr>
                <w:sz w:val="18"/>
                <w:szCs w:val="18"/>
              </w:rPr>
            </w:pPr>
            <w:r w:rsidDel="00000000" w:rsidR="00000000" w:rsidRPr="00000000">
              <w:rPr>
                <w:rtl w:val="0"/>
              </w:rPr>
            </w:r>
          </w:p>
        </w:tc>
      </w:tr>
      <w:tr>
        <w:trPr>
          <w:cantSplit w:val="0"/>
          <w:trHeight w:val="273"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36" w:lineRule="auto"/>
              <w:ind w:left="-4"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Inversiones en el mercado local o nacional</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38"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38"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100%</w:t>
            </w:r>
          </w:p>
        </w:tc>
      </w:tr>
      <w:tr>
        <w:trPr>
          <w:cantSplit w:val="0"/>
          <w:trHeight w:val="262"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before="24" w:lineRule="auto"/>
              <w:ind w:left="-4"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Inversiones en el mercado extranjero</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leader="none" w:pos="570"/>
              </w:tabs>
              <w:spacing w:before="24"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24"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100%</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47">
            <w:pPr>
              <w:rPr/>
            </w:pP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48">
            <w:pPr>
              <w:ind w:right="-12" w:firstLine="3"/>
              <w:jc w:val="center"/>
              <w:rPr>
                <w:sz w:val="18"/>
                <w:szCs w:val="18"/>
              </w:rPr>
            </w:pP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49">
            <w:pPr>
              <w:ind w:right="-12" w:firstLine="3"/>
              <w:jc w:val="center"/>
              <w:rPr>
                <w:sz w:val="18"/>
                <w:szCs w:val="18"/>
              </w:rPr>
            </w:pPr>
            <w:r w:rsidDel="00000000" w:rsidR="00000000" w:rsidRPr="00000000">
              <w:rPr>
                <w:rtl w:val="0"/>
              </w:rPr>
            </w:r>
          </w:p>
        </w:tc>
      </w:tr>
      <w:tr>
        <w:trPr>
          <w:cantSplit w:val="0"/>
          <w:trHeight w:val="256" w:hRule="atLeast"/>
          <w:tblHeader w:val="0"/>
        </w:trPr>
        <w:tc>
          <w:tcPr>
            <w:tcBorders>
              <w:top w:color="000000" w:space="0" w:sz="6" w:val="single"/>
              <w:left w:color="000000" w:space="0" w:sz="6" w:val="single"/>
              <w:bottom w:color="000000" w:space="0" w:sz="6" w:val="single"/>
              <w:right w:color="000000" w:space="0" w:sz="5" w:val="single"/>
            </w:tcBorders>
            <w:shd w:fill="c0c0c0" w:val="clea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24" w:lineRule="auto"/>
              <w:ind w:left="-4" w:firstLine="0"/>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SEGÚN </w:t>
            </w:r>
            <w:r w:rsidDel="00000000" w:rsidR="00000000" w:rsidRPr="00000000">
              <w:rPr>
                <w:rFonts w:ascii="Arial" w:cs="Arial" w:eastAsia="Arial" w:hAnsi="Arial"/>
                <w:b w:val="1"/>
                <w:sz w:val="18"/>
                <w:szCs w:val="18"/>
                <w:rtl w:val="0"/>
              </w:rPr>
              <w:t xml:space="preserve">CLASIFICACIÓN</w:t>
            </w:r>
            <w:r w:rsidDel="00000000" w:rsidR="00000000" w:rsidRPr="00000000">
              <w:rPr>
                <w:rFonts w:ascii="Arial" w:cs="Arial" w:eastAsia="Arial" w:hAnsi="Arial"/>
                <w:b w:val="1"/>
                <w:color w:val="000000"/>
                <w:sz w:val="18"/>
                <w:szCs w:val="18"/>
                <w:rtl w:val="0"/>
              </w:rPr>
              <w:t xml:space="preserve"> DE RIESGO</w:t>
            </w: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shd w:fill="c0c0c0" w:val="clear"/>
            <w:vAlign w:val="center"/>
          </w:tcPr>
          <w:p w:rsidR="00000000" w:rsidDel="00000000" w:rsidP="00000000" w:rsidRDefault="00000000" w:rsidRPr="00000000" w14:paraId="0000004B">
            <w:pPr>
              <w:ind w:right="-12" w:firstLine="3"/>
              <w:jc w:val="center"/>
              <w:rPr>
                <w:sz w:val="18"/>
                <w:szCs w:val="18"/>
              </w:rPr>
            </w:pP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shd w:fill="c0c0c0" w:val="clear"/>
            <w:vAlign w:val="center"/>
          </w:tcPr>
          <w:p w:rsidR="00000000" w:rsidDel="00000000" w:rsidP="00000000" w:rsidRDefault="00000000" w:rsidRPr="00000000" w14:paraId="0000004C">
            <w:pPr>
              <w:ind w:right="-12" w:firstLine="3"/>
              <w:jc w:val="center"/>
              <w:rPr>
                <w:sz w:val="18"/>
                <w:szCs w:val="18"/>
              </w:rPr>
            </w:pPr>
            <w:r w:rsidDel="00000000" w:rsidR="00000000" w:rsidRPr="00000000">
              <w:rPr>
                <w:rtl w:val="0"/>
              </w:rPr>
            </w:r>
          </w:p>
        </w:tc>
      </w:tr>
      <w:tr>
        <w:trPr>
          <w:cantSplit w:val="0"/>
          <w:trHeight w:val="274"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35" w:lineRule="auto"/>
              <w:ind w:left="-4" w:firstLine="0"/>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LOCAL</w:t>
            </w: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39"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39"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100%</w:t>
            </w:r>
          </w:p>
        </w:tc>
      </w:tr>
      <w:tr>
        <w:trPr>
          <w:cantSplit w:val="0"/>
          <w:trHeight w:val="503" w:hRule="atLeast"/>
          <w:tblHeader w:val="0"/>
        </w:trPr>
        <w:tc>
          <w:tcPr>
            <w:tcBorders>
              <w:top w:color="000000" w:space="0" w:sz="6" w:val="single"/>
              <w:left w:color="000000" w:space="0" w:sz="6" w:val="single"/>
              <w:bottom w:color="000000" w:space="0" w:sz="5" w:val="single"/>
              <w:right w:color="000000" w:space="0" w:sz="5"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48" w:lineRule="auto"/>
              <w:ind w:left="-4" w:firstLine="0"/>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Inversiones con clasificación de riesgo mejores o iguales a categoría:</w:t>
            </w:r>
            <w:r w:rsidDel="00000000" w:rsidR="00000000" w:rsidRPr="00000000">
              <w:rPr>
                <w:rtl w:val="0"/>
              </w:rPr>
            </w:r>
          </w:p>
        </w:tc>
        <w:tc>
          <w:tcPr>
            <w:tcBorders>
              <w:top w:color="000000" w:space="0" w:sz="6"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1">
            <w:pPr>
              <w:ind w:right="-12" w:firstLine="3"/>
              <w:jc w:val="center"/>
              <w:rPr>
                <w:sz w:val="18"/>
                <w:szCs w:val="18"/>
              </w:rPr>
            </w:pPr>
            <w:r w:rsidDel="00000000" w:rsidR="00000000" w:rsidRPr="00000000">
              <w:rPr>
                <w:rtl w:val="0"/>
              </w:rPr>
            </w:r>
          </w:p>
        </w:tc>
        <w:tc>
          <w:tcPr>
            <w:tcBorders>
              <w:top w:color="000000" w:space="0" w:sz="6"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2">
            <w:pPr>
              <w:ind w:right="-12" w:firstLine="3"/>
              <w:jc w:val="center"/>
              <w:rPr>
                <w:sz w:val="18"/>
                <w:szCs w:val="18"/>
              </w:rPr>
            </w:pPr>
            <w:r w:rsidDel="00000000" w:rsidR="00000000" w:rsidRPr="00000000">
              <w:rPr>
                <w:rtl w:val="0"/>
              </w:rPr>
            </w:r>
          </w:p>
        </w:tc>
      </w:tr>
      <w:tr>
        <w:trPr>
          <w:cantSplit w:val="0"/>
          <w:trHeight w:val="262" w:hRule="atLeast"/>
          <w:tblHeader w:val="0"/>
        </w:trPr>
        <w:tc>
          <w:tcPr>
            <w:tcBorders>
              <w:top w:color="000000" w:space="0" w:sz="5" w:val="single"/>
              <w:left w:color="000000" w:space="0" w:sz="6" w:val="single"/>
              <w:bottom w:color="000000" w:space="0" w:sz="5" w:val="single"/>
              <w:right w:color="000000" w:space="0" w:sz="5" w:val="single"/>
            </w:tcBorders>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27" w:lineRule="auto"/>
              <w:ind w:left="-4"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Categoría AAA hasta AA- en Largo Plazo y CP-1 en Corto Plazo</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27"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27"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100%</w:t>
            </w:r>
          </w:p>
        </w:tc>
      </w:tr>
      <w:tr>
        <w:trPr>
          <w:cantSplit w:val="0"/>
          <w:trHeight w:val="264" w:hRule="atLeast"/>
          <w:tblHeader w:val="0"/>
        </w:trPr>
        <w:tc>
          <w:tcPr>
            <w:tcBorders>
              <w:top w:color="000000" w:space="0" w:sz="5" w:val="single"/>
              <w:left w:color="000000" w:space="0" w:sz="6" w:val="single"/>
              <w:bottom w:color="000000" w:space="0" w:sz="5" w:val="single"/>
              <w:right w:color="000000" w:space="0" w:sz="5" w:val="single"/>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27" w:lineRule="auto"/>
              <w:ind w:left="-4"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Categoría A+ hasta A- en Largo Plazo y CP-2 en Corto Plazo</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before="31"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before="29"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25%</w:t>
            </w:r>
          </w:p>
        </w:tc>
      </w:tr>
      <w:tr>
        <w:trPr>
          <w:cantSplit w:val="0"/>
          <w:trHeight w:val="264" w:hRule="atLeast"/>
          <w:tblHeader w:val="0"/>
        </w:trPr>
        <w:tc>
          <w:tcPr>
            <w:tcBorders>
              <w:top w:color="000000" w:space="0" w:sz="5" w:val="single"/>
              <w:left w:color="000000" w:space="0" w:sz="6" w:val="single"/>
              <w:bottom w:color="000000" w:space="0" w:sz="5" w:val="single"/>
              <w:right w:color="000000" w:space="0" w:sz="5" w:val="single"/>
            </w:tcBorders>
          </w:tcPr>
          <w:p w:rsidR="00000000" w:rsidDel="00000000" w:rsidP="00000000" w:rsidRDefault="00000000" w:rsidRPr="00000000" w14:paraId="00000059">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A">
            <w:pPr>
              <w:ind w:right="-12" w:firstLine="3"/>
              <w:jc w:val="center"/>
              <w:rPr>
                <w:sz w:val="18"/>
                <w:szCs w:val="18"/>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B">
            <w:pPr>
              <w:ind w:right="-12" w:firstLine="3"/>
              <w:jc w:val="center"/>
              <w:rPr>
                <w:sz w:val="18"/>
                <w:szCs w:val="18"/>
              </w:rPr>
            </w:pPr>
            <w:r w:rsidDel="00000000" w:rsidR="00000000" w:rsidRPr="00000000">
              <w:rPr>
                <w:rtl w:val="0"/>
              </w:rPr>
            </w:r>
          </w:p>
        </w:tc>
      </w:tr>
      <w:tr>
        <w:trPr>
          <w:cantSplit w:val="0"/>
          <w:trHeight w:val="265" w:hRule="atLeast"/>
          <w:tblHeader w:val="0"/>
        </w:trPr>
        <w:tc>
          <w:tcPr>
            <w:tcBorders>
              <w:top w:color="000000" w:space="0" w:sz="5" w:val="single"/>
              <w:left w:color="000000" w:space="0" w:sz="6" w:val="single"/>
              <w:bottom w:color="000000" w:space="0" w:sz="6" w:val="single"/>
              <w:right w:color="000000" w:space="0" w:sz="5" w:val="single"/>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29" w:lineRule="auto"/>
              <w:ind w:left="-4" w:firstLine="0"/>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Inversiones en Entidades Financieras</w:t>
            </w:r>
            <w:r w:rsidDel="00000000" w:rsidR="00000000" w:rsidRPr="00000000">
              <w:rPr>
                <w:rtl w:val="0"/>
              </w:rPr>
            </w:r>
          </w:p>
        </w:tc>
        <w:tc>
          <w:tcPr>
            <w:tcBorders>
              <w:top w:color="000000" w:space="0" w:sz="5"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5D">
            <w:pPr>
              <w:ind w:right="-12" w:firstLine="3"/>
              <w:jc w:val="center"/>
              <w:rPr>
                <w:sz w:val="18"/>
                <w:szCs w:val="18"/>
              </w:rPr>
            </w:pPr>
            <w:r w:rsidDel="00000000" w:rsidR="00000000" w:rsidRPr="00000000">
              <w:rPr>
                <w:rtl w:val="0"/>
              </w:rPr>
            </w:r>
          </w:p>
        </w:tc>
        <w:tc>
          <w:tcPr>
            <w:tcBorders>
              <w:top w:color="000000" w:space="0" w:sz="5"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5E">
            <w:pPr>
              <w:ind w:right="-12" w:firstLine="3"/>
              <w:jc w:val="center"/>
              <w:rPr>
                <w:sz w:val="18"/>
                <w:szCs w:val="18"/>
              </w:rPr>
            </w:pPr>
            <w:r w:rsidDel="00000000" w:rsidR="00000000" w:rsidRPr="00000000">
              <w:rPr>
                <w:rtl w:val="0"/>
              </w:rPr>
            </w:r>
          </w:p>
        </w:tc>
      </w:tr>
      <w:tr>
        <w:trPr>
          <w:cantSplit w:val="0"/>
          <w:trHeight w:val="264"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27" w:lineRule="auto"/>
              <w:ind w:left="-4"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Categoría A+ hasta A-</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27"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27"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100%</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before="27" w:lineRule="auto"/>
              <w:ind w:left="-4"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Categoría B+ hasta B-</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before="29"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before="29"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50%</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65">
            <w:pPr>
              <w:rPr/>
            </w:pP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66">
            <w:pPr>
              <w:ind w:right="-12" w:firstLine="3"/>
              <w:jc w:val="center"/>
              <w:rPr>
                <w:sz w:val="18"/>
                <w:szCs w:val="18"/>
              </w:rPr>
            </w:pP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67">
            <w:pPr>
              <w:ind w:right="-12" w:firstLine="3"/>
              <w:jc w:val="center"/>
              <w:rPr>
                <w:sz w:val="18"/>
                <w:szCs w:val="18"/>
              </w:rPr>
            </w:pPr>
            <w:r w:rsidDel="00000000" w:rsidR="00000000" w:rsidRPr="00000000">
              <w:rPr>
                <w:rtl w:val="0"/>
              </w:rPr>
            </w:r>
          </w:p>
        </w:tc>
      </w:tr>
      <w:tr>
        <w:trPr>
          <w:cantSplit w:val="0"/>
          <w:trHeight w:val="262"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27" w:lineRule="auto"/>
              <w:ind w:left="-4" w:firstLine="0"/>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INTERNACIONAL</w:t>
            </w: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27"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before="27"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100%</w:t>
            </w:r>
          </w:p>
        </w:tc>
      </w:tr>
      <w:tr>
        <w:trPr>
          <w:cantSplit w:val="0"/>
          <w:trHeight w:val="504"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51" w:lineRule="auto"/>
              <w:ind w:left="-4" w:firstLine="0"/>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Inversiones con clasificación de riesgo mejores o iguales a categoría:</w:t>
            </w: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6C">
            <w:pPr>
              <w:ind w:right="-12" w:firstLine="3"/>
              <w:jc w:val="center"/>
              <w:rPr>
                <w:sz w:val="18"/>
                <w:szCs w:val="18"/>
              </w:rPr>
            </w:pP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6D">
            <w:pPr>
              <w:ind w:right="-12" w:firstLine="3"/>
              <w:jc w:val="center"/>
              <w:rPr>
                <w:sz w:val="18"/>
                <w:szCs w:val="18"/>
              </w:rPr>
            </w:pPr>
            <w:r w:rsidDel="00000000" w:rsidR="00000000" w:rsidRPr="00000000">
              <w:rPr>
                <w:rtl w:val="0"/>
              </w:rPr>
            </w:r>
          </w:p>
        </w:tc>
      </w:tr>
      <w:tr>
        <w:trPr>
          <w:cantSplit w:val="0"/>
          <w:trHeight w:val="264"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7" w:lineRule="auto"/>
              <w:ind w:left="54"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Categoría AAA hasta AA- en Largo Plazo y CP-1 en Corto Plazo</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7"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7"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100%</w:t>
            </w:r>
          </w:p>
        </w:tc>
      </w:tr>
      <w:tr>
        <w:trPr>
          <w:cantSplit w:val="0"/>
          <w:trHeight w:val="266"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7" w:lineRule="auto"/>
              <w:ind w:left="54"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Categoría A+ hasta BBB- en Largo Plazo y CP-</w:t>
            </w:r>
            <w:r w:rsidDel="00000000" w:rsidR="00000000" w:rsidRPr="00000000">
              <w:rPr>
                <w:rFonts w:ascii="Arial" w:cs="Arial" w:eastAsia="Arial" w:hAnsi="Arial"/>
                <w:sz w:val="18"/>
                <w:szCs w:val="18"/>
                <w:rtl w:val="0"/>
              </w:rPr>
              <w:t xml:space="preserve">2</w:t>
            </w:r>
            <w:r w:rsidDel="00000000" w:rsidR="00000000" w:rsidRPr="00000000">
              <w:rPr>
                <w:rFonts w:ascii="Arial" w:cs="Arial" w:eastAsia="Arial" w:hAnsi="Arial"/>
                <w:color w:val="000000"/>
                <w:sz w:val="18"/>
                <w:szCs w:val="18"/>
                <w:rtl w:val="0"/>
              </w:rPr>
              <w:t xml:space="preserve"> en Corto Plazo</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before="7"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before="7"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100%</w:t>
            </w:r>
          </w:p>
        </w:tc>
      </w:tr>
      <w:tr>
        <w:trPr>
          <w:cantSplit w:val="0"/>
          <w:trHeight w:val="241" w:hRule="atLeast"/>
          <w:tblHeader w:val="0"/>
        </w:trPr>
        <w:tc>
          <w:tcPr>
            <w:tcBorders>
              <w:top w:color="000000" w:space="0" w:sz="6" w:val="single"/>
              <w:left w:color="000000" w:space="0" w:sz="6" w:val="single"/>
              <w:bottom w:color="000000" w:space="0" w:sz="5" w:val="single"/>
              <w:right w:color="000000" w:space="0" w:sz="5"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5" w:lineRule="auto"/>
              <w:ind w:left="54" w:firstLine="0"/>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Categoría BB+ hasta BB- en Largo Plazo y CP-3 en Corto Plazo</w:t>
            </w:r>
            <w:r w:rsidDel="00000000" w:rsidR="00000000" w:rsidRPr="00000000">
              <w:rPr>
                <w:rtl w:val="0"/>
              </w:rPr>
            </w:r>
          </w:p>
        </w:tc>
        <w:tc>
          <w:tcPr>
            <w:tcBorders>
              <w:top w:color="000000" w:space="0" w:sz="6"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5"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w:t>
            </w:r>
          </w:p>
        </w:tc>
        <w:tc>
          <w:tcPr>
            <w:tcBorders>
              <w:top w:color="000000" w:space="0" w:sz="6"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5"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50</w:t>
            </w:r>
            <w:r w:rsidDel="00000000" w:rsidR="00000000" w:rsidRPr="00000000">
              <w:rPr>
                <w:rFonts w:ascii="Arial" w:cs="Arial" w:eastAsia="Arial" w:hAnsi="Arial"/>
                <w:color w:val="000000"/>
                <w:sz w:val="18"/>
                <w:szCs w:val="18"/>
                <w:rtl w:val="0"/>
              </w:rPr>
              <w:t xml:space="preserve">%</w:t>
            </w:r>
          </w:p>
        </w:tc>
      </w:tr>
      <w:tr>
        <w:trPr>
          <w:cantSplit w:val="0"/>
          <w:trHeight w:val="263" w:hRule="atLeast"/>
          <w:tblHeader w:val="0"/>
        </w:trPr>
        <w:tc>
          <w:tcPr>
            <w:tcBorders>
              <w:top w:color="000000" w:space="0" w:sz="5" w:val="single"/>
              <w:left w:color="000000" w:space="0" w:sz="6" w:val="single"/>
              <w:bottom w:color="000000" w:space="0" w:sz="6" w:val="single"/>
              <w:right w:color="000000" w:space="0" w:sz="5" w:val="single"/>
            </w:tcBorders>
          </w:tcPr>
          <w:p w:rsidR="00000000" w:rsidDel="00000000" w:rsidP="00000000" w:rsidRDefault="00000000" w:rsidRPr="00000000" w14:paraId="00000077">
            <w:pPr>
              <w:rPr/>
            </w:pPr>
            <w:r w:rsidDel="00000000" w:rsidR="00000000" w:rsidRPr="00000000">
              <w:rPr>
                <w:rtl w:val="0"/>
              </w:rPr>
            </w:r>
          </w:p>
        </w:tc>
        <w:tc>
          <w:tcPr>
            <w:tcBorders>
              <w:top w:color="000000" w:space="0" w:sz="5"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78">
            <w:pPr>
              <w:ind w:right="-12" w:firstLine="3"/>
              <w:jc w:val="center"/>
              <w:rPr>
                <w:sz w:val="18"/>
                <w:szCs w:val="18"/>
              </w:rPr>
            </w:pPr>
            <w:r w:rsidDel="00000000" w:rsidR="00000000" w:rsidRPr="00000000">
              <w:rPr>
                <w:rtl w:val="0"/>
              </w:rPr>
            </w:r>
          </w:p>
        </w:tc>
        <w:tc>
          <w:tcPr>
            <w:tcBorders>
              <w:top w:color="000000" w:space="0" w:sz="5"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79">
            <w:pPr>
              <w:ind w:right="-12" w:firstLine="3"/>
              <w:jc w:val="center"/>
              <w:rPr>
                <w:sz w:val="18"/>
                <w:szCs w:val="18"/>
              </w:rPr>
            </w:pPr>
            <w:r w:rsidDel="00000000" w:rsidR="00000000" w:rsidRPr="00000000">
              <w:rPr>
                <w:rtl w:val="0"/>
              </w:rPr>
            </w:r>
          </w:p>
        </w:tc>
      </w:tr>
      <w:tr>
        <w:trPr>
          <w:cantSplit w:val="0"/>
          <w:trHeight w:val="264"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27" w:lineRule="auto"/>
              <w:ind w:left="-4" w:firstLine="0"/>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ESTADO</w:t>
            </w: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7B">
            <w:pPr>
              <w:ind w:right="-12" w:firstLine="3"/>
              <w:jc w:val="center"/>
              <w:rPr>
                <w:sz w:val="18"/>
                <w:szCs w:val="18"/>
              </w:rPr>
            </w:pP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7C">
            <w:pPr>
              <w:ind w:right="-12" w:firstLine="3"/>
              <w:jc w:val="center"/>
              <w:rPr>
                <w:sz w:val="18"/>
                <w:szCs w:val="18"/>
              </w:rPr>
            </w:pPr>
            <w:r w:rsidDel="00000000" w:rsidR="00000000" w:rsidRPr="00000000">
              <w:rPr>
                <w:rtl w:val="0"/>
              </w:rPr>
            </w:r>
          </w:p>
        </w:tc>
      </w:tr>
      <w:tr>
        <w:trPr>
          <w:cantSplit w:val="0"/>
          <w:trHeight w:val="264"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before="27" w:lineRule="auto"/>
              <w:ind w:left="-4"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Instrumentos del Banco Central de Reserva del Perú</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before="29"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before="29"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100%</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before="27" w:lineRule="auto"/>
              <w:ind w:left="-4"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Instrumentos emitidos por el Gobierno Central</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before="29"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29"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100%</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83">
            <w:pPr>
              <w:rPr/>
            </w:pP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84">
            <w:pPr>
              <w:ind w:right="-12" w:firstLine="3"/>
              <w:jc w:val="center"/>
              <w:rPr>
                <w:sz w:val="18"/>
                <w:szCs w:val="18"/>
              </w:rPr>
            </w:pP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85">
            <w:pPr>
              <w:ind w:right="-12" w:firstLine="3"/>
              <w:jc w:val="center"/>
              <w:rPr>
                <w:sz w:val="18"/>
                <w:szCs w:val="18"/>
              </w:rPr>
            </w:pPr>
            <w:r w:rsidDel="00000000" w:rsidR="00000000" w:rsidRPr="00000000">
              <w:rPr>
                <w:rtl w:val="0"/>
              </w:rPr>
            </w:r>
          </w:p>
        </w:tc>
      </w:tr>
      <w:tr>
        <w:trPr>
          <w:cantSplit w:val="0"/>
          <w:trHeight w:val="266"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before="27" w:lineRule="auto"/>
              <w:ind w:left="-4"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Instrumentos sin Clasificación</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before="31"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before="31"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25%</w:t>
            </w:r>
          </w:p>
        </w:tc>
      </w:tr>
      <w:tr>
        <w:trPr>
          <w:cantSplit w:val="0"/>
          <w:trHeight w:val="255" w:hRule="atLeast"/>
          <w:tblHeader w:val="0"/>
        </w:trPr>
        <w:tc>
          <w:tcPr>
            <w:tcBorders>
              <w:top w:color="000000" w:space="0" w:sz="6" w:val="single"/>
              <w:left w:color="000000" w:space="0" w:sz="6" w:val="single"/>
              <w:bottom w:color="000000" w:space="0" w:sz="6" w:val="single"/>
              <w:right w:color="000000" w:space="0" w:sz="5" w:val="single"/>
            </w:tcBorders>
            <w:shd w:fill="c0c0c0" w:val="clear"/>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before="27" w:lineRule="auto"/>
              <w:ind w:left="-4" w:firstLine="0"/>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INSTRUMENTOS DERIVADOS (</w:t>
            </w:r>
            <w:r w:rsidDel="00000000" w:rsidR="00000000" w:rsidRPr="00000000">
              <w:rPr>
                <w:rFonts w:ascii="Arial" w:cs="Arial" w:eastAsia="Arial" w:hAnsi="Arial"/>
                <w:b w:val="1"/>
                <w:sz w:val="18"/>
                <w:szCs w:val="18"/>
                <w:rtl w:val="0"/>
              </w:rPr>
              <w:t xml:space="preserve">1</w:t>
            </w:r>
            <w:r w:rsidDel="00000000" w:rsidR="00000000" w:rsidRPr="00000000">
              <w:rPr>
                <w:rFonts w:ascii="Arial" w:cs="Arial" w:eastAsia="Arial" w:hAnsi="Arial"/>
                <w:b w:val="1"/>
                <w:color w:val="000000"/>
                <w:sz w:val="18"/>
                <w:szCs w:val="18"/>
                <w:rtl w:val="0"/>
              </w:rPr>
              <w:t xml:space="preserve">)</w:t>
            </w: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shd w:fill="c0c0c0" w:val="clear"/>
            <w:vAlign w:val="center"/>
          </w:tcPr>
          <w:p w:rsidR="00000000" w:rsidDel="00000000" w:rsidP="00000000" w:rsidRDefault="00000000" w:rsidRPr="00000000" w14:paraId="0000008A">
            <w:pPr>
              <w:ind w:right="-12" w:firstLine="3"/>
              <w:jc w:val="center"/>
              <w:rPr>
                <w:sz w:val="18"/>
                <w:szCs w:val="18"/>
              </w:rPr>
            </w:pPr>
            <w:r w:rsidDel="00000000" w:rsidR="00000000" w:rsidRPr="00000000">
              <w:rPr>
                <w:rtl w:val="0"/>
              </w:rPr>
            </w:r>
          </w:p>
        </w:tc>
        <w:tc>
          <w:tcPr>
            <w:tcBorders>
              <w:top w:color="000000" w:space="0" w:sz="6" w:val="single"/>
              <w:left w:color="000000" w:space="0" w:sz="5" w:val="single"/>
              <w:bottom w:color="000000" w:space="0" w:sz="6" w:val="single"/>
              <w:right w:color="000000" w:space="0" w:sz="5" w:val="single"/>
            </w:tcBorders>
            <w:shd w:fill="c0c0c0" w:val="clear"/>
            <w:vAlign w:val="center"/>
          </w:tcPr>
          <w:p w:rsidR="00000000" w:rsidDel="00000000" w:rsidP="00000000" w:rsidRDefault="00000000" w:rsidRPr="00000000" w14:paraId="0000008B">
            <w:pPr>
              <w:ind w:right="-12" w:firstLine="3"/>
              <w:jc w:val="center"/>
              <w:rPr>
                <w:sz w:val="18"/>
                <w:szCs w:val="18"/>
              </w:rPr>
            </w:pPr>
            <w:r w:rsidDel="00000000" w:rsidR="00000000" w:rsidRPr="00000000">
              <w:rPr>
                <w:rtl w:val="0"/>
              </w:rPr>
            </w:r>
          </w:p>
        </w:tc>
      </w:tr>
      <w:tr>
        <w:trPr>
          <w:cantSplit w:val="0"/>
          <w:trHeight w:val="271"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before="33" w:lineRule="auto"/>
              <w:ind w:left="-4"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Forward a la moneda del valor cuota</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before="38"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before="38"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100%</w:t>
            </w:r>
          </w:p>
        </w:tc>
      </w:tr>
      <w:tr>
        <w:trPr>
          <w:cantSplit w:val="0"/>
          <w:trHeight w:val="264"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before="27" w:lineRule="auto"/>
              <w:ind w:left="-4"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Forward a monedas distintas del valor cuota</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before="31"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before="29"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25%</w:t>
            </w:r>
          </w:p>
        </w:tc>
      </w:tr>
      <w:tr>
        <w:trPr>
          <w:cantSplit w:val="0"/>
          <w:trHeight w:val="266" w:hRule="atLeast"/>
          <w:tblHeader w:val="0"/>
        </w:trPr>
        <w:tc>
          <w:tcPr>
            <w:tcBorders>
              <w:top w:color="000000" w:space="0" w:sz="6" w:val="single"/>
              <w:left w:color="000000" w:space="0" w:sz="6" w:val="single"/>
              <w:bottom w:color="000000" w:space="0" w:sz="6" w:val="single"/>
              <w:right w:color="000000" w:space="0" w:sz="5" w:val="single"/>
            </w:tcBorders>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before="27" w:lineRule="auto"/>
              <w:ind w:left="-4"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Swaps</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before="29"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0%</w:t>
            </w:r>
          </w:p>
        </w:tc>
        <w:tc>
          <w:tcPr>
            <w:tcBorders>
              <w:top w:color="000000" w:space="0" w:sz="6" w:val="single"/>
              <w:left w:color="000000" w:space="0" w:sz="5" w:val="single"/>
              <w:bottom w:color="000000" w:space="0" w:sz="6" w:val="single"/>
              <w:right w:color="000000" w:space="0" w:sz="5" w:val="single"/>
            </w:tcBorders>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before="29" w:lineRule="auto"/>
              <w:ind w:right="-12" w:firstLine="3"/>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75%</w:t>
            </w:r>
          </w:p>
        </w:tc>
      </w:tr>
    </w:tbl>
    <w:p w:rsidR="00000000" w:rsidDel="00000000" w:rsidP="00000000" w:rsidRDefault="00000000" w:rsidRPr="00000000" w14:paraId="00000095">
      <w:pPr>
        <w:spacing w:before="9" w:line="260" w:lineRule="auto"/>
        <w:rPr>
          <w:sz w:val="2"/>
          <w:szCs w:val="2"/>
        </w:rPr>
      </w:pPr>
      <w:r w:rsidDel="00000000" w:rsidR="00000000" w:rsidRPr="00000000">
        <w:rPr>
          <w:rtl w:val="0"/>
        </w:rPr>
      </w:r>
    </w:p>
    <w:p w:rsidR="00000000" w:rsidDel="00000000" w:rsidP="00000000" w:rsidRDefault="00000000" w:rsidRPr="00000000" w14:paraId="00000096">
      <w:pPr>
        <w:numPr>
          <w:ilvl w:val="0"/>
          <w:numId w:val="6"/>
        </w:numPr>
        <w:spacing w:before="83" w:line="250" w:lineRule="auto"/>
        <w:ind w:left="762" w:right="709" w:hanging="339"/>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Los porcentajes de inversión en derivados se consideran respecto del activo subyacente, considerando para ello su monto nocional o total de los flujos coberturados con respecto al valor total de la cartera del FONDO.</w:t>
      </w:r>
    </w:p>
    <w:p w:rsidR="00000000" w:rsidDel="00000000" w:rsidP="00000000" w:rsidRDefault="00000000" w:rsidRPr="00000000" w14:paraId="00000097">
      <w:pPr>
        <w:spacing w:before="83" w:line="250" w:lineRule="auto"/>
        <w:ind w:left="762" w:right="709"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Adicionalmente a lo señalado, se podrá contratar forwards con el fin de liquidar anticipadamente una determinada posición.</w:t>
      </w:r>
    </w:p>
    <w:p w:rsidR="00000000" w:rsidDel="00000000" w:rsidP="00000000" w:rsidRDefault="00000000" w:rsidRPr="00000000" w14:paraId="00000098">
      <w:pPr>
        <w:spacing w:before="4" w:line="70" w:lineRule="auto"/>
        <w:ind w:left="762" w:right="709" w:hanging="339"/>
        <w:jc w:val="both"/>
        <w:rPr>
          <w:sz w:val="16"/>
          <w:szCs w:val="16"/>
        </w:rPr>
      </w:pPr>
      <w:r w:rsidDel="00000000" w:rsidR="00000000" w:rsidRPr="00000000">
        <w:rPr>
          <w:rtl w:val="0"/>
        </w:rPr>
      </w:r>
    </w:p>
    <w:p w:rsidR="00000000" w:rsidDel="00000000" w:rsidP="00000000" w:rsidRDefault="00000000" w:rsidRPr="00000000" w14:paraId="00000099">
      <w:pPr>
        <w:numPr>
          <w:ilvl w:val="1"/>
          <w:numId w:val="4"/>
        </w:numPr>
        <w:tabs>
          <w:tab w:val="left" w:leader="none" w:pos="458"/>
        </w:tabs>
        <w:ind w:left="458" w:right="4797" w:hanging="358"/>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Indicador de comparación de rendimientos</w:t>
      </w:r>
      <w:r w:rsidDel="00000000" w:rsidR="00000000" w:rsidRPr="00000000">
        <w:rPr>
          <w:rtl w:val="0"/>
        </w:rPr>
      </w:r>
    </w:p>
    <w:p w:rsidR="00000000" w:rsidDel="00000000" w:rsidP="00000000" w:rsidRDefault="00000000" w:rsidRPr="00000000" w14:paraId="0000009A">
      <w:pPr>
        <w:spacing w:before="15" w:lineRule="auto"/>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4" w:lineRule="auto"/>
        <w:ind w:left="100" w:right="11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indicador de comparación de rendimientos estará medido por un índice ponderado compuesto en un 30% por el promedio aritmético simple de las tasas de cuentas de Depósito a Plazo a 30 días en dólares de los tres primeros bancos* del sistema financiero nacional (en función al tamaño de sus pasivos), 55% por el promedio aritmético simple de las tasas de cuentas de Depósito a Plazo a 180 días en dólares de los tres primeros bancos* del sistema financiero nacional y 15% por el rendimiento del índice de bonos corporativos latinoamericanos (Perú, Chile, Colombia, México y Brasil) en dólares con una duración promedio de 3 años. Los resultados serán presentados en los estados de cuenta.</w:t>
      </w:r>
    </w:p>
    <w:p w:rsidR="00000000" w:rsidDel="00000000" w:rsidP="00000000" w:rsidRDefault="00000000" w:rsidRPr="00000000" w14:paraId="0000009C">
      <w:pPr>
        <w:spacing w:before="6" w:line="170" w:lineRule="auto"/>
        <w:rPr>
          <w:sz w:val="17"/>
          <w:szCs w:val="17"/>
        </w:rPr>
      </w:pPr>
      <w:r w:rsidDel="00000000" w:rsidR="00000000" w:rsidRPr="00000000">
        <w:rPr>
          <w:rtl w:val="0"/>
        </w:rPr>
      </w:r>
    </w:p>
    <w:p w:rsidR="00000000" w:rsidDel="00000000" w:rsidP="00000000" w:rsidRDefault="00000000" w:rsidRPr="00000000" w14:paraId="0000009D">
      <w:pPr>
        <w:rPr>
          <w:sz w:val="16"/>
          <w:szCs w:val="16"/>
        </w:rPr>
      </w:pPr>
      <w:r w:rsidDel="00000000" w:rsidR="00000000" w:rsidRPr="00000000">
        <w:rPr>
          <w:rtl w:val="0"/>
        </w:rPr>
      </w:r>
    </w:p>
    <w:p w:rsidR="00000000" w:rsidDel="00000000" w:rsidP="00000000" w:rsidRDefault="00000000" w:rsidRPr="00000000" w14:paraId="0000009E">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IR=30%*DEP30D+55%*DEP180D+15%*EURLATAM3Y</m:t>
        </m:r>
      </m:oMath>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before="126" w:line="248.00000000000006" w:lineRule="auto"/>
        <w:ind w:left="709" w:right="568" w:firstLine="0"/>
        <w:jc w:val="both"/>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0">
      <w:pPr>
        <w:ind w:left="70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DEP30D: Promedio aritmético simple de las tasas de cuentas de Depósito a Plazo a 30 días en dólares de los tres primeros bancos* del sistema financiero nacional (en función al tamaño de sus pasivos).</w:t>
      </w:r>
    </w:p>
    <w:p w:rsidR="00000000" w:rsidDel="00000000" w:rsidP="00000000" w:rsidRDefault="00000000" w:rsidRPr="00000000" w14:paraId="000000A1">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ind w:left="70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DEP180D: Promedio aritmético simple de las tasas de cuentas de Depósito a Plazo a 180 días en dólares de los tres primeros bancos* del sistema financiero nacional (en función al tamaño de sus pasivos).</w:t>
      </w:r>
    </w:p>
    <w:p w:rsidR="00000000" w:rsidDel="00000000" w:rsidP="00000000" w:rsidRDefault="00000000" w:rsidRPr="00000000" w14:paraId="000000A3">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ind w:left="70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EURLATAM3Y: Rendimiento del índice de bonos corporativos latinoamericanos (Perú, Chile, México, Colombia y Brasil) en dólares con una duración promedio de 3 años.</w:t>
      </w:r>
    </w:p>
    <w:p w:rsidR="00000000" w:rsidDel="00000000" w:rsidP="00000000" w:rsidRDefault="00000000" w:rsidRPr="00000000" w14:paraId="000000A5">
      <w:pPr>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ind w:left="70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Estos índices serán elaborados y suministrados por la empresa Proveedor Integral de Precios (PIP).</w:t>
      </w:r>
    </w:p>
    <w:p w:rsidR="00000000" w:rsidDel="00000000" w:rsidP="00000000" w:rsidRDefault="00000000" w:rsidRPr="00000000" w14:paraId="000000A7">
      <w:pPr>
        <w:ind w:left="709" w:right="568" w:firstLine="0"/>
        <w:jc w:val="both"/>
        <w:rPr>
          <w:sz w:val="18"/>
          <w:szCs w:val="1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4" w:lineRule="auto"/>
        <w:ind w:left="709" w:right="568"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ese sentido, los rendimientos presentados en el estado de cuenta serán comparados con los rendimientos obtenidos por el mencionado índice durante los mismos periodos. El riesgo y rendimiento de los instrumentos que forman parte de la cartera </w:t>
      </w:r>
      <w:r w:rsidDel="00000000" w:rsidR="00000000" w:rsidRPr="00000000">
        <w:rPr>
          <w:rFonts w:ascii="Arial" w:cs="Arial" w:eastAsia="Arial" w:hAnsi="Arial"/>
          <w:sz w:val="20"/>
          <w:szCs w:val="20"/>
          <w:rtl w:val="0"/>
        </w:rPr>
        <w:t xml:space="preserve">del</w:t>
      </w:r>
      <w:r w:rsidDel="00000000" w:rsidR="00000000" w:rsidRPr="00000000">
        <w:rPr>
          <w:rFonts w:ascii="Arial" w:cs="Arial" w:eastAsia="Arial" w:hAnsi="Arial"/>
          <w:color w:val="000000"/>
          <w:sz w:val="20"/>
          <w:szCs w:val="20"/>
          <w:rtl w:val="0"/>
        </w:rPr>
        <w:t xml:space="preserve"> FONDO, no necesariamente corresponden al riesgo y rendimiento del (de los) instrumento(s) representado(s) por el indicador de comparación de rendimientos (“Benchmark”).</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4" w:lineRule="auto"/>
        <w:ind w:left="709" w:right="56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126" w:line="248.00000000000006" w:lineRule="auto"/>
        <w:ind w:left="709" w:right="568" w:firstLine="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La fuente para las tasas de depósitos en dólares de los principales bancos será la proporcionada por la Superintendencia de Banca, Seguros y AFPs</w:t>
      </w:r>
    </w:p>
    <w:p w:rsidR="00000000" w:rsidDel="00000000" w:rsidP="00000000" w:rsidRDefault="00000000" w:rsidRPr="00000000" w14:paraId="000000AB">
      <w:pPr>
        <w:spacing w:before="2" w:lineRule="auto"/>
        <w:rPr/>
      </w:pPr>
      <w:r w:rsidDel="00000000" w:rsidR="00000000" w:rsidRPr="00000000">
        <w:rPr>
          <w:rtl w:val="0"/>
        </w:rPr>
      </w:r>
    </w:p>
    <w:p w:rsidR="00000000" w:rsidDel="00000000" w:rsidP="00000000" w:rsidRDefault="00000000" w:rsidRPr="00000000" w14:paraId="000000AC">
      <w:pPr>
        <w:numPr>
          <w:ilvl w:val="0"/>
          <w:numId w:val="3"/>
        </w:numPr>
        <w:pBdr>
          <w:top w:space="0" w:sz="0" w:val="nil"/>
          <w:left w:space="0" w:sz="0" w:val="nil"/>
          <w:bottom w:space="0" w:sz="0" w:val="nil"/>
          <w:right w:space="0" w:sz="0" w:val="nil"/>
          <w:between w:space="0" w:sz="0" w:val="nil"/>
        </w:pBdr>
        <w:tabs>
          <w:tab w:val="left" w:leader="none" w:pos="340"/>
        </w:tabs>
        <w:ind w:left="340" w:hanging="24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Comisiones y Gastos del Fondo</w:t>
      </w:r>
      <w:r w:rsidDel="00000000" w:rsidR="00000000" w:rsidRPr="00000000">
        <w:rPr>
          <w:rtl w:val="0"/>
        </w:rPr>
      </w:r>
    </w:p>
    <w:p w:rsidR="00000000" w:rsidDel="00000000" w:rsidP="00000000" w:rsidRDefault="00000000" w:rsidRPr="00000000" w14:paraId="000000AD">
      <w:pPr>
        <w:spacing w:before="13" w:lineRule="auto"/>
        <w:rPr/>
      </w:pPr>
      <w:r w:rsidDel="00000000" w:rsidR="00000000" w:rsidRPr="00000000">
        <w:rPr>
          <w:rtl w:val="0"/>
        </w:rPr>
      </w:r>
    </w:p>
    <w:p w:rsidR="00000000" w:rsidDel="00000000" w:rsidP="00000000" w:rsidRDefault="00000000" w:rsidRPr="00000000" w14:paraId="000000AE">
      <w:pPr>
        <w:numPr>
          <w:ilvl w:val="0"/>
          <w:numId w:val="2"/>
        </w:numPr>
        <w:pBdr>
          <w:top w:space="0" w:sz="0" w:val="nil"/>
          <w:left w:space="0" w:sz="0" w:val="nil"/>
          <w:bottom w:space="0" w:sz="0" w:val="nil"/>
          <w:right w:space="0" w:sz="0" w:val="nil"/>
          <w:between w:space="0" w:sz="0" w:val="nil"/>
        </w:pBdr>
        <w:tabs>
          <w:tab w:val="left" w:leader="none" w:pos="352"/>
        </w:tabs>
        <w:ind w:left="352" w:hanging="25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Gastos a cargo del Inversionista:</w:t>
      </w:r>
    </w:p>
    <w:p w:rsidR="00000000" w:rsidDel="00000000" w:rsidP="00000000" w:rsidRDefault="00000000" w:rsidRPr="00000000" w14:paraId="000000AF">
      <w:pPr>
        <w:numPr>
          <w:ilvl w:val="0"/>
          <w:numId w:val="1"/>
        </w:numPr>
        <w:pBdr>
          <w:top w:space="0" w:sz="0" w:val="nil"/>
          <w:left w:space="0" w:sz="0" w:val="nil"/>
          <w:bottom w:space="0" w:sz="0" w:val="nil"/>
          <w:right w:space="0" w:sz="0" w:val="nil"/>
          <w:between w:space="0" w:sz="0" w:val="nil"/>
        </w:pBdr>
        <w:tabs>
          <w:tab w:val="left" w:leader="none" w:pos="451"/>
        </w:tabs>
        <w:spacing w:before="5" w:lineRule="auto"/>
        <w:ind w:left="451" w:hanging="35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Comisión de Suscripción: De 0 % a 5.00 % + IGV. En la actualidad no se cobra esta comisión.</w:t>
      </w:r>
    </w:p>
    <w:p w:rsidR="00000000" w:rsidDel="00000000" w:rsidP="00000000" w:rsidRDefault="00000000" w:rsidRPr="00000000" w14:paraId="000000B0">
      <w:pPr>
        <w:numPr>
          <w:ilvl w:val="0"/>
          <w:numId w:val="1"/>
        </w:numPr>
        <w:pBdr>
          <w:top w:space="0" w:sz="0" w:val="nil"/>
          <w:left w:space="0" w:sz="0" w:val="nil"/>
          <w:bottom w:space="0" w:sz="0" w:val="nil"/>
          <w:right w:space="0" w:sz="0" w:val="nil"/>
          <w:between w:space="0" w:sz="0" w:val="nil"/>
        </w:pBdr>
        <w:tabs>
          <w:tab w:val="left" w:leader="none" w:pos="451"/>
        </w:tabs>
        <w:spacing w:before="2" w:line="245" w:lineRule="auto"/>
        <w:ind w:left="451" w:hanging="35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Comisión de Rescate: no aplica.</w:t>
      </w:r>
    </w:p>
    <w:p w:rsidR="00000000" w:rsidDel="00000000" w:rsidP="00000000" w:rsidRDefault="00000000" w:rsidRPr="00000000" w14:paraId="000000B1">
      <w:pPr>
        <w:numPr>
          <w:ilvl w:val="0"/>
          <w:numId w:val="1"/>
        </w:numPr>
        <w:pBdr>
          <w:top w:space="0" w:sz="0" w:val="nil"/>
          <w:left w:space="0" w:sz="0" w:val="nil"/>
          <w:bottom w:space="0" w:sz="0" w:val="nil"/>
          <w:right w:space="0" w:sz="0" w:val="nil"/>
          <w:between w:space="0" w:sz="0" w:val="nil"/>
        </w:pBdr>
        <w:tabs>
          <w:tab w:val="left" w:leader="none" w:pos="451"/>
        </w:tabs>
        <w:spacing w:line="241" w:lineRule="auto"/>
        <w:ind w:left="451" w:hanging="35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Comisión de emisión de certificados de participación: Se cobrará sólo si se pide la emisión del certificado, cuyo costo es de US $ 50.00 + IGV por cada título físico.</w:t>
      </w:r>
    </w:p>
    <w:p w:rsidR="00000000" w:rsidDel="00000000" w:rsidP="00000000" w:rsidRDefault="00000000" w:rsidRPr="00000000" w14:paraId="000000B2">
      <w:pPr>
        <w:numPr>
          <w:ilvl w:val="0"/>
          <w:numId w:val="1"/>
        </w:numPr>
        <w:pBdr>
          <w:top w:space="0" w:sz="0" w:val="nil"/>
          <w:left w:space="0" w:sz="0" w:val="nil"/>
          <w:bottom w:space="0" w:sz="0" w:val="nil"/>
          <w:right w:space="0" w:sz="0" w:val="nil"/>
          <w:between w:space="0" w:sz="0" w:val="nil"/>
        </w:pBdr>
        <w:tabs>
          <w:tab w:val="left" w:leader="none" w:pos="451"/>
        </w:tabs>
        <w:spacing w:before="3" w:lineRule="auto"/>
        <w:ind w:left="451" w:hanging="35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Comisión de Transferencia: De 0 % a 5.00 % + IGV. En la actualidad no se cobra esta comisión.</w:t>
      </w:r>
    </w:p>
    <w:p w:rsidR="00000000" w:rsidDel="00000000" w:rsidP="00000000" w:rsidRDefault="00000000" w:rsidRPr="00000000" w14:paraId="000000B3">
      <w:pPr>
        <w:numPr>
          <w:ilvl w:val="0"/>
          <w:numId w:val="1"/>
        </w:numPr>
        <w:pBdr>
          <w:top w:space="0" w:sz="0" w:val="nil"/>
          <w:left w:space="0" w:sz="0" w:val="nil"/>
          <w:bottom w:space="0" w:sz="0" w:val="nil"/>
          <w:right w:space="0" w:sz="0" w:val="nil"/>
          <w:between w:space="0" w:sz="0" w:val="nil"/>
        </w:pBdr>
        <w:tabs>
          <w:tab w:val="left" w:leader="none" w:pos="451"/>
        </w:tabs>
        <w:spacing w:before="4" w:line="244" w:lineRule="auto"/>
        <w:ind w:left="451" w:hanging="35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Comisión de Traspaso: De 0 % a 5.00 % + IGV. En la actualidad no se cobra esta comisión. Sin embargo, los cargos por comisiones generados por las operaciones de rescate y suscripción siguen siendo aplicables, si fuera el caso.</w:t>
      </w:r>
    </w:p>
    <w:p w:rsidR="00000000" w:rsidDel="00000000" w:rsidP="00000000" w:rsidRDefault="00000000" w:rsidRPr="00000000" w14:paraId="000000B4">
      <w:pPr>
        <w:spacing w:before="7" w:lineRule="auto"/>
        <w:rPr/>
      </w:pPr>
      <w:r w:rsidDel="00000000" w:rsidR="00000000" w:rsidRPr="00000000">
        <w:rPr>
          <w:rtl w:val="0"/>
        </w:rPr>
      </w:r>
    </w:p>
    <w:p w:rsidR="00000000" w:rsidDel="00000000" w:rsidP="00000000" w:rsidRDefault="00000000" w:rsidRPr="00000000" w14:paraId="000000B5">
      <w:pPr>
        <w:numPr>
          <w:ilvl w:val="0"/>
          <w:numId w:val="2"/>
        </w:numPr>
        <w:pBdr>
          <w:top w:space="0" w:sz="0" w:val="nil"/>
          <w:left w:space="0" w:sz="0" w:val="nil"/>
          <w:bottom w:space="0" w:sz="0" w:val="nil"/>
          <w:right w:space="0" w:sz="0" w:val="nil"/>
          <w:between w:space="0" w:sz="0" w:val="nil"/>
        </w:pBdr>
        <w:tabs>
          <w:tab w:val="left" w:leader="none" w:pos="352"/>
        </w:tabs>
        <w:ind w:left="352" w:hanging="25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Gastos a cargo de EL FONDO:</w:t>
      </w:r>
    </w:p>
    <w:p w:rsidR="00000000" w:rsidDel="00000000" w:rsidP="00000000" w:rsidRDefault="00000000" w:rsidRPr="00000000" w14:paraId="000000B6">
      <w:pPr>
        <w:numPr>
          <w:ilvl w:val="0"/>
          <w:numId w:val="1"/>
        </w:numPr>
        <w:pBdr>
          <w:top w:space="0" w:sz="0" w:val="nil"/>
          <w:left w:space="0" w:sz="0" w:val="nil"/>
          <w:bottom w:space="0" w:sz="0" w:val="nil"/>
          <w:right w:space="0" w:sz="0" w:val="nil"/>
          <w:between w:space="0" w:sz="0" w:val="nil"/>
        </w:pBdr>
        <w:tabs>
          <w:tab w:val="left" w:leader="none" w:pos="451"/>
        </w:tabs>
        <w:spacing w:before="5" w:line="244" w:lineRule="auto"/>
        <w:ind w:left="451" w:right="1" w:hanging="35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Comisión Unificada de El FONDO: Comisión de administración: de 0 % a 5.00 % + IGV anual sobre el patrimonio neto de pre cierre administrado. La comisión se devenga diariamente y se cobra mensualmente. A la vigencia del presente Anexo del Reglamento de Participación se cobra el 0.50% nominal anual (base 360) + IGV.</w:t>
      </w:r>
    </w:p>
    <w:p w:rsidR="00000000" w:rsidDel="00000000" w:rsidP="00000000" w:rsidRDefault="00000000" w:rsidRPr="00000000" w14:paraId="000000B7">
      <w:pPr>
        <w:numPr>
          <w:ilvl w:val="0"/>
          <w:numId w:val="1"/>
        </w:numPr>
        <w:pBdr>
          <w:top w:space="0" w:sz="0" w:val="nil"/>
          <w:left w:space="0" w:sz="0" w:val="nil"/>
          <w:bottom w:space="0" w:sz="0" w:val="nil"/>
          <w:right w:space="0" w:sz="0" w:val="nil"/>
          <w:between w:space="0" w:sz="0" w:val="nil"/>
        </w:pBdr>
        <w:tabs>
          <w:tab w:val="left" w:leader="none" w:pos="451"/>
        </w:tabs>
        <w:spacing w:line="241" w:lineRule="auto"/>
        <w:ind w:left="451" w:right="1" w:hanging="35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Comisiones propias de las operaciones de inversión: Hasta 5.00% del monto negociado (incluye comisión de intermediación por transacciones bursátiles o extrabursátiles, contribuciones, CAVALI y BVL, impuestos, mantenimiento de cuentas, transferencias interbancarias y otras de similar naturaleza).</w:t>
      </w:r>
    </w:p>
    <w:p w:rsidR="00000000" w:rsidDel="00000000" w:rsidP="00000000" w:rsidRDefault="00000000" w:rsidRPr="00000000" w14:paraId="000000B8">
      <w:pPr>
        <w:numPr>
          <w:ilvl w:val="0"/>
          <w:numId w:val="1"/>
        </w:numPr>
        <w:tabs>
          <w:tab w:val="left" w:leader="none" w:pos="451"/>
        </w:tabs>
        <w:spacing w:before="1" w:line="242" w:lineRule="auto"/>
        <w:ind w:left="451" w:right="114" w:hanging="351"/>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Tributos cobrados por la SMV: La tasa de contribución mensual que cobra la SMV asciende a 0.0021% mensual del patrimonio del fondo, lo que equivale a 0.0252% anual aproximadamente, el IGV no aplica sobre la misma. </w:t>
      </w:r>
      <w:r w:rsidDel="00000000" w:rsidR="00000000" w:rsidRPr="00000000">
        <w:rPr>
          <w:rtl w:val="0"/>
        </w:rPr>
      </w:r>
    </w:p>
    <w:p w:rsidR="00000000" w:rsidDel="00000000" w:rsidP="00000000" w:rsidRDefault="00000000" w:rsidRPr="00000000" w14:paraId="000000B9">
      <w:pPr>
        <w:rPr/>
      </w:pPr>
      <w:bookmarkStart w:colFirst="0" w:colLast="0" w:name="_heading=h.30j0zll" w:id="1"/>
      <w:bookmarkEnd w:id="1"/>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numPr>
          <w:ilvl w:val="0"/>
          <w:numId w:val="3"/>
        </w:numPr>
        <w:pBdr>
          <w:top w:space="0" w:sz="0" w:val="nil"/>
          <w:left w:space="0" w:sz="0" w:val="nil"/>
          <w:bottom w:space="0" w:sz="0" w:val="nil"/>
          <w:right w:space="0" w:sz="0" w:val="nil"/>
          <w:between w:space="0" w:sz="0" w:val="nil"/>
        </w:pBdr>
        <w:tabs>
          <w:tab w:val="left" w:leader="none" w:pos="340"/>
        </w:tabs>
        <w:ind w:left="340" w:hanging="24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Otros aspectos particulares al Fondo</w:t>
      </w:r>
      <w:r w:rsidDel="00000000" w:rsidR="00000000" w:rsidRPr="00000000">
        <w:rPr>
          <w:rtl w:val="0"/>
        </w:rPr>
      </w:r>
    </w:p>
    <w:p w:rsidR="00000000" w:rsidDel="00000000" w:rsidP="00000000" w:rsidRDefault="00000000" w:rsidRPr="00000000" w14:paraId="000000BD">
      <w:pPr>
        <w:spacing w:before="13" w:lineRule="auto"/>
        <w:rPr/>
      </w:pPr>
      <w:r w:rsidDel="00000000" w:rsidR="00000000" w:rsidRPr="00000000">
        <w:rPr>
          <w:rtl w:val="0"/>
        </w:rPr>
      </w:r>
    </w:p>
    <w:p w:rsidR="00000000" w:rsidDel="00000000" w:rsidP="00000000" w:rsidRDefault="00000000" w:rsidRPr="00000000" w14:paraId="000000BE">
      <w:pPr>
        <w:numPr>
          <w:ilvl w:val="0"/>
          <w:numId w:val="8"/>
        </w:numPr>
        <w:pBdr>
          <w:top w:space="0" w:sz="0" w:val="nil"/>
          <w:left w:space="0" w:sz="0" w:val="nil"/>
          <w:bottom w:space="0" w:sz="0" w:val="nil"/>
          <w:right w:space="0" w:sz="0" w:val="nil"/>
          <w:between w:space="0" w:sz="0" w:val="nil"/>
        </w:pBdr>
        <w:tabs>
          <w:tab w:val="left" w:leader="none" w:pos="451"/>
        </w:tabs>
        <w:spacing w:before="8" w:line="242" w:lineRule="auto"/>
        <w:ind w:left="451" w:right="114" w:hanging="35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Suscripción inicial: US$ 150.00 dólares americanos o su equivalente en cuotas para Personas Naturales y Personas Jurídicas. </w:t>
      </w:r>
    </w:p>
    <w:p w:rsidR="00000000" w:rsidDel="00000000" w:rsidP="00000000" w:rsidRDefault="00000000" w:rsidRPr="00000000" w14:paraId="000000BF">
      <w:pPr>
        <w:numPr>
          <w:ilvl w:val="0"/>
          <w:numId w:val="8"/>
        </w:numPr>
        <w:pBdr>
          <w:top w:space="0" w:sz="0" w:val="nil"/>
          <w:left w:space="0" w:sz="0" w:val="nil"/>
          <w:bottom w:space="0" w:sz="0" w:val="nil"/>
          <w:right w:space="0" w:sz="0" w:val="nil"/>
          <w:between w:space="0" w:sz="0" w:val="nil"/>
        </w:pBdr>
        <w:tabs>
          <w:tab w:val="left" w:leader="none" w:pos="451"/>
        </w:tabs>
        <w:spacing w:before="8" w:line="242" w:lineRule="auto"/>
        <w:ind w:left="451" w:right="114" w:hanging="35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Suscripciones posteriores: no aplica.</w:t>
      </w:r>
    </w:p>
    <w:p w:rsidR="00000000" w:rsidDel="00000000" w:rsidP="00000000" w:rsidRDefault="00000000" w:rsidRPr="00000000" w14:paraId="000000C0">
      <w:pPr>
        <w:numPr>
          <w:ilvl w:val="0"/>
          <w:numId w:val="8"/>
        </w:numPr>
        <w:pBdr>
          <w:top w:space="0" w:sz="0" w:val="nil"/>
          <w:left w:space="0" w:sz="0" w:val="nil"/>
          <w:bottom w:space="0" w:sz="0" w:val="nil"/>
          <w:right w:space="0" w:sz="0" w:val="nil"/>
          <w:between w:space="0" w:sz="0" w:val="nil"/>
        </w:pBdr>
        <w:tabs>
          <w:tab w:val="left" w:leader="none" w:pos="451"/>
        </w:tabs>
        <w:spacing w:before="8" w:line="242" w:lineRule="auto"/>
        <w:ind w:left="451" w:right="114" w:hanging="35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Valor Inicial de las cuotas de colocación: US$ 100.00 Dólares americanos.</w:t>
      </w:r>
    </w:p>
    <w:p w:rsidR="00000000" w:rsidDel="00000000" w:rsidP="00000000" w:rsidRDefault="00000000" w:rsidRPr="00000000" w14:paraId="000000C1">
      <w:pPr>
        <w:numPr>
          <w:ilvl w:val="0"/>
          <w:numId w:val="8"/>
        </w:numPr>
        <w:pBdr>
          <w:top w:space="0" w:sz="0" w:val="nil"/>
          <w:left w:space="0" w:sz="0" w:val="nil"/>
          <w:bottom w:space="0" w:sz="0" w:val="nil"/>
          <w:right w:space="0" w:sz="0" w:val="nil"/>
          <w:between w:space="0" w:sz="0" w:val="nil"/>
        </w:pBdr>
        <w:tabs>
          <w:tab w:val="left" w:leader="none" w:pos="451"/>
        </w:tabs>
        <w:spacing w:before="5" w:lineRule="auto"/>
        <w:ind w:left="451" w:right="114" w:hanging="35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Rescates mínimos: no aplica.</w:t>
      </w:r>
    </w:p>
    <w:p w:rsidR="00000000" w:rsidDel="00000000" w:rsidP="00000000" w:rsidRDefault="00000000" w:rsidRPr="00000000" w14:paraId="000000C2">
      <w:pPr>
        <w:numPr>
          <w:ilvl w:val="0"/>
          <w:numId w:val="8"/>
        </w:numPr>
        <w:pBdr>
          <w:top w:space="0" w:sz="0" w:val="nil"/>
          <w:left w:space="0" w:sz="0" w:val="nil"/>
          <w:bottom w:space="0" w:sz="0" w:val="nil"/>
          <w:right w:space="0" w:sz="0" w:val="nil"/>
          <w:between w:space="0" w:sz="0" w:val="nil"/>
        </w:pBdr>
        <w:tabs>
          <w:tab w:val="left" w:leader="none" w:pos="451"/>
        </w:tabs>
        <w:spacing w:before="5" w:lineRule="auto"/>
        <w:ind w:left="451" w:right="114" w:hanging="35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Monto mínimo de permanencia: US$ 50.00 dólares americanos o su equivalente en cuotas.</w:t>
      </w:r>
    </w:p>
    <w:p w:rsidR="00000000" w:rsidDel="00000000" w:rsidP="00000000" w:rsidRDefault="00000000" w:rsidRPr="00000000" w14:paraId="000000C3">
      <w:pPr>
        <w:numPr>
          <w:ilvl w:val="0"/>
          <w:numId w:val="8"/>
        </w:numPr>
        <w:pBdr>
          <w:top w:space="0" w:sz="0" w:val="nil"/>
          <w:left w:space="0" w:sz="0" w:val="nil"/>
          <w:bottom w:space="0" w:sz="0" w:val="nil"/>
          <w:right w:space="0" w:sz="0" w:val="nil"/>
          <w:between w:space="0" w:sz="0" w:val="nil"/>
        </w:pBdr>
        <w:tabs>
          <w:tab w:val="left" w:leader="none" w:pos="451"/>
        </w:tabs>
        <w:spacing w:before="3" w:line="245" w:lineRule="auto"/>
        <w:ind w:left="451" w:right="114" w:hanging="35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Rescates y Suscripciones programadas: Aplica de acuerdo al procedimiento establecido en el Reglamento de Participación.</w:t>
      </w:r>
    </w:p>
    <w:p w:rsidR="00000000" w:rsidDel="00000000" w:rsidP="00000000" w:rsidRDefault="00000000" w:rsidRPr="00000000" w14:paraId="000000C4">
      <w:pPr>
        <w:numPr>
          <w:ilvl w:val="0"/>
          <w:numId w:val="8"/>
        </w:numPr>
        <w:pBdr>
          <w:top w:space="0" w:sz="0" w:val="nil"/>
          <w:left w:space="0" w:sz="0" w:val="nil"/>
          <w:bottom w:space="0" w:sz="0" w:val="nil"/>
          <w:right w:space="0" w:sz="0" w:val="nil"/>
          <w:between w:space="0" w:sz="0" w:val="nil"/>
        </w:pBdr>
        <w:tabs>
          <w:tab w:val="left" w:leader="none" w:pos="451"/>
        </w:tabs>
        <w:spacing w:before="2" w:lineRule="auto"/>
        <w:ind w:left="451" w:right="114" w:hanging="35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Plazo mínimo de permanencia: no aplica.</w:t>
      </w:r>
    </w:p>
    <w:p w:rsidR="00000000" w:rsidDel="00000000" w:rsidP="00000000" w:rsidRDefault="00000000" w:rsidRPr="00000000" w14:paraId="000000C5">
      <w:pPr>
        <w:numPr>
          <w:ilvl w:val="0"/>
          <w:numId w:val="8"/>
        </w:numPr>
        <w:pBdr>
          <w:top w:space="0" w:sz="0" w:val="nil"/>
          <w:left w:space="0" w:sz="0" w:val="nil"/>
          <w:bottom w:space="0" w:sz="0" w:val="nil"/>
          <w:right w:space="0" w:sz="0" w:val="nil"/>
          <w:between w:space="0" w:sz="0" w:val="nil"/>
        </w:pBdr>
        <w:tabs>
          <w:tab w:val="left" w:leader="none" w:pos="451"/>
        </w:tabs>
        <w:spacing w:before="3" w:line="245" w:lineRule="auto"/>
        <w:ind w:left="451" w:right="114" w:hanging="35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Hora de corte: la hora de corte para las suscripciones y las solicitudes de rescate de un día es 08:00 p.m. El horario de vigencia del valor cuota es de 24 horas y se inicia a la hora de corte.</w:t>
      </w:r>
    </w:p>
    <w:p w:rsidR="00000000" w:rsidDel="00000000" w:rsidP="00000000" w:rsidRDefault="00000000" w:rsidRPr="00000000" w14:paraId="000000C6">
      <w:pPr>
        <w:numPr>
          <w:ilvl w:val="0"/>
          <w:numId w:val="8"/>
        </w:numPr>
        <w:pBdr>
          <w:top w:space="0" w:sz="0" w:val="nil"/>
          <w:left w:space="0" w:sz="0" w:val="nil"/>
          <w:bottom w:space="0" w:sz="0" w:val="nil"/>
          <w:right w:space="0" w:sz="0" w:val="nil"/>
          <w:between w:space="0" w:sz="0" w:val="nil"/>
        </w:pBdr>
        <w:tabs>
          <w:tab w:val="left" w:leader="none" w:pos="451"/>
        </w:tabs>
        <w:spacing w:before="3" w:line="245" w:lineRule="auto"/>
        <w:ind w:left="451" w:right="114" w:hanging="35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Asignación del Valor Cuota: Los aportes por suscripción y las solicitudes de rescate que se produzcan hasta antes de la hora de corte de cada día se asignarán al valor cuota del día. Para mejor comprensión, se incluye el siguiente cuadro:</w:t>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leader="none" w:pos="451"/>
        </w:tabs>
        <w:spacing w:before="5" w:line="245" w:lineRule="auto"/>
        <w:ind w:left="100" w:right="114"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8">
      <w:pPr>
        <w:spacing w:line="200" w:lineRule="auto"/>
        <w:rPr>
          <w:sz w:val="18"/>
          <w:szCs w:val="18"/>
        </w:rPr>
      </w:pPr>
      <w:r w:rsidDel="00000000" w:rsidR="00000000" w:rsidRPr="00000000">
        <w:rPr>
          <w:rtl w:val="0"/>
        </w:rPr>
      </w:r>
    </w:p>
    <w:tbl>
      <w:tblPr>
        <w:tblStyle w:val="Table2"/>
        <w:tblW w:w="5540.0" w:type="dxa"/>
        <w:jc w:val="center"/>
        <w:tblLayout w:type="fixed"/>
        <w:tblLook w:val="0400"/>
      </w:tblPr>
      <w:tblGrid>
        <w:gridCol w:w="2100"/>
        <w:gridCol w:w="1840"/>
        <w:gridCol w:w="1600"/>
        <w:tblGridChange w:id="0">
          <w:tblGrid>
            <w:gridCol w:w="2100"/>
            <w:gridCol w:w="1840"/>
            <w:gridCol w:w="1600"/>
          </w:tblGrid>
        </w:tblGridChange>
      </w:tblGrid>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9">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Día del Aporte o de presentación de la solicitud de rescate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Día de asignación de valor cuota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B">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Día del Pago de rescate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C">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Lunes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D">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Lunes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E">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Martes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F">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Martes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Martes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1">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Miércoles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2">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Miércoles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3">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Miércoles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4">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Jueves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5">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Jueves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6">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Jueves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7">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Viernes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8">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Viernes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9">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Viernes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widowControl w:val="1"/>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Sábado</w:t>
            </w:r>
          </w:p>
        </w:tc>
      </w:tr>
    </w:tbl>
    <w:p w:rsidR="00000000" w:rsidDel="00000000" w:rsidP="00000000" w:rsidRDefault="00000000" w:rsidRPr="00000000" w14:paraId="000000DB">
      <w:pPr>
        <w:spacing w:before="9" w:lineRule="auto"/>
        <w:rPr>
          <w:sz w:val="24"/>
          <w:szCs w:val="24"/>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5" w:lineRule="auto"/>
        <w:ind w:left="709" w:right="568" w:firstLine="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No aplica en caso de: (i) el día del pago fuese feriado, caso en el que el pago se realizará al día útil siguiente, (ii) que el rescate sea calificado como significativo.</w:t>
      </w:r>
    </w:p>
    <w:p w:rsidR="00000000" w:rsidDel="00000000" w:rsidP="00000000" w:rsidRDefault="00000000" w:rsidRPr="00000000" w14:paraId="000000DD">
      <w:pPr>
        <w:spacing w:line="245" w:lineRule="auto"/>
        <w:rPr/>
      </w:pPr>
      <w:r w:rsidDel="00000000" w:rsidR="00000000" w:rsidRPr="00000000">
        <w:rPr>
          <w:rtl w:val="0"/>
        </w:rPr>
      </w:r>
    </w:p>
    <w:p w:rsidR="00000000" w:rsidDel="00000000" w:rsidP="00000000" w:rsidRDefault="00000000" w:rsidRPr="00000000" w14:paraId="000000DE">
      <w:pPr>
        <w:spacing w:line="246" w:lineRule="auto"/>
        <w:ind w:left="426" w:right="115"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Cabe señalar que, para los casos de traspaso, la asignación del valor cuota dependerá de las condiciones establecidas en el Anexo del Reglamento de participación y los respectivos prospectos simplificados de los fondos en los que opere el rescate y la suscripción de cuotas.</w:t>
      </w:r>
    </w:p>
    <w:p w:rsidR="00000000" w:rsidDel="00000000" w:rsidP="00000000" w:rsidRDefault="00000000" w:rsidRPr="00000000" w14:paraId="000000DF">
      <w:pPr>
        <w:spacing w:before="8" w:lineRule="auto"/>
        <w:rPr/>
      </w:pPr>
      <w:r w:rsidDel="00000000" w:rsidR="00000000" w:rsidRPr="00000000">
        <w:rPr>
          <w:rtl w:val="0"/>
        </w:rPr>
      </w:r>
    </w:p>
    <w:p w:rsidR="00000000" w:rsidDel="00000000" w:rsidP="00000000" w:rsidRDefault="00000000" w:rsidRPr="00000000" w14:paraId="000000E0">
      <w:pPr>
        <w:numPr>
          <w:ilvl w:val="0"/>
          <w:numId w:val="8"/>
        </w:numPr>
        <w:pBdr>
          <w:top w:space="0" w:sz="0" w:val="nil"/>
          <w:left w:space="0" w:sz="0" w:val="nil"/>
          <w:bottom w:space="0" w:sz="0" w:val="nil"/>
          <w:right w:space="0" w:sz="0" w:val="nil"/>
          <w:between w:space="0" w:sz="0" w:val="nil"/>
        </w:pBdr>
        <w:tabs>
          <w:tab w:val="left" w:leader="none" w:pos="451"/>
        </w:tabs>
        <w:spacing w:line="244" w:lineRule="auto"/>
        <w:ind w:left="451" w:right="112" w:hanging="35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Medios y Horario de atención: Las suscripciones, rescates, transferencias y traspasos se podrán realizar a través de las oficinas del BBVA, de lunes a viernes, entre las 9:00 a.m. y las 8:00 p.m. (este horario está sujeto al horario de atención al público de cada oficina del BBVA). Se podrá realizar la suscripción inicial del </w:t>
      </w:r>
      <w:r w:rsidDel="00000000" w:rsidR="00000000" w:rsidRPr="00000000">
        <w:rPr>
          <w:rFonts w:ascii="Helvetica Neue" w:cs="Helvetica Neue" w:eastAsia="Helvetica Neue" w:hAnsi="Helvetica Neue"/>
          <w:color w:val="000000"/>
          <w:sz w:val="20"/>
          <w:szCs w:val="20"/>
          <w:highlight w:val="white"/>
          <w:rtl w:val="0"/>
        </w:rPr>
        <w:t xml:space="preserve">FONDO</w:t>
      </w:r>
      <w:r w:rsidDel="00000000" w:rsidR="00000000" w:rsidRPr="00000000">
        <w:rPr>
          <w:rFonts w:ascii="Arial" w:cs="Arial" w:eastAsia="Arial" w:hAnsi="Arial"/>
          <w:color w:val="000000"/>
          <w:sz w:val="20"/>
          <w:szCs w:val="20"/>
          <w:rtl w:val="0"/>
        </w:rPr>
        <w:t xml:space="preserve"> y suscripciones posteriores a través de Banca por Internet y Banca Móvil del BBVA.</w:t>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left" w:leader="none" w:pos="451"/>
        </w:tabs>
        <w:spacing w:line="244" w:lineRule="auto"/>
        <w:ind w:left="451" w:right="112"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Asimismo, también se podrán realizar suscripciones y rescates a través de medios electrónicos (página web), siempre que exista el consentimiento expreso del partícipe para el uso de estos medios, durante las 24 horas del día, durante todos los días del año. Las solicitudes de suscripción y rescate realizadas a través de medios electrónicos los días sábados, domingos, feriados y fuera del horario de atención a través de las oficinas de BBVA serán atendidas el día útil siguiente (“Día de Atención”) y se les asignará el valor cuota que corresponda de acuerdo a lo dispuesto en la presente sección 5. Para efectos del Método de Asignación del Valor Cuota el Día de Atención será considerado cómo T. No se atenderán solicitudes de transferencia y traspaso a través de medios electrónicos. Para Personas Naturales existe un importe máximo para proceder con el rescate, en relación al parámetro que tenga definido cada cliente con el BBVA. En caso de que el cliente decida ampliar dicho parámetro, se deberá comunicar con la central de atención de dicho banco para tal efecto. Para suscripciones no se contempla un monto máximo. En el caso de suscripciones y rescates de Personas Jurídicas, el partícipe suscribirá con el BBVA el formulario de inscripción de Banca por Internet donde autorizará los límites y facultades de sus apoderados.</w:t>
      </w:r>
    </w:p>
    <w:p w:rsidR="00000000" w:rsidDel="00000000" w:rsidP="00000000" w:rsidRDefault="00000000" w:rsidRPr="00000000" w14:paraId="000000E2">
      <w:pPr>
        <w:numPr>
          <w:ilvl w:val="0"/>
          <w:numId w:val="8"/>
        </w:numPr>
        <w:pBdr>
          <w:top w:space="0" w:sz="0" w:val="nil"/>
          <w:left w:space="0" w:sz="0" w:val="nil"/>
          <w:bottom w:space="0" w:sz="0" w:val="nil"/>
          <w:right w:space="0" w:sz="0" w:val="nil"/>
          <w:between w:space="0" w:sz="0" w:val="nil"/>
        </w:pBdr>
        <w:tabs>
          <w:tab w:val="left" w:leader="none" w:pos="451"/>
        </w:tabs>
        <w:spacing w:line="244" w:lineRule="auto"/>
        <w:ind w:left="451" w:right="112" w:hanging="35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Plazo para el pago de rescates: El pago del rescate se efectuará en un plazo que no excederá de un (1) día útil siguiente desde que se asigne el valor cuota correspondiente.</w:t>
      </w:r>
    </w:p>
    <w:p w:rsidR="00000000" w:rsidDel="00000000" w:rsidP="00000000" w:rsidRDefault="00000000" w:rsidRPr="00000000" w14:paraId="000000E3">
      <w:pPr>
        <w:numPr>
          <w:ilvl w:val="0"/>
          <w:numId w:val="8"/>
        </w:numPr>
        <w:pBdr>
          <w:top w:space="0" w:sz="0" w:val="nil"/>
          <w:left w:space="0" w:sz="0" w:val="nil"/>
          <w:bottom w:space="0" w:sz="0" w:val="nil"/>
          <w:right w:space="0" w:sz="0" w:val="nil"/>
          <w:between w:space="0" w:sz="0" w:val="nil"/>
        </w:pBdr>
        <w:tabs>
          <w:tab w:val="left" w:leader="none" w:pos="451"/>
        </w:tabs>
        <w:spacing w:before="3" w:line="245" w:lineRule="auto"/>
        <w:ind w:left="451" w:right="112" w:hanging="35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Rescates significativos: Los rescates individuales que superen el 5% del patrimonio neto del FONDO del día y/o el caso de rescates grupales que superen el 10% del patrimonio neto del FONDO del día serán considerados como rescates significativos, siempre que no exista liquidez suficiente para realizar el pago dentro del plazo señalado en el literal k) precedente. El/los participe(s) serán notificados dentro de los dos (2) días útiles de presentada la solicitud de rescate y el pago de dichos rescates deberá realizarse dentro los 10 días útiles de presentada la solicitud.</w:t>
      </w:r>
    </w:p>
    <w:p w:rsidR="00000000" w:rsidDel="00000000" w:rsidP="00000000" w:rsidRDefault="00000000" w:rsidRPr="00000000" w14:paraId="000000E4">
      <w:pPr>
        <w:numPr>
          <w:ilvl w:val="0"/>
          <w:numId w:val="8"/>
        </w:numPr>
        <w:pBdr>
          <w:top w:space="0" w:sz="0" w:val="nil"/>
          <w:left w:space="0" w:sz="0" w:val="nil"/>
          <w:bottom w:space="0" w:sz="0" w:val="nil"/>
          <w:right w:space="0" w:sz="0" w:val="nil"/>
          <w:between w:space="0" w:sz="0" w:val="nil"/>
        </w:pBdr>
        <w:tabs>
          <w:tab w:val="left" w:leader="none" w:pos="451"/>
        </w:tabs>
        <w:spacing w:before="3" w:lineRule="auto"/>
        <w:ind w:left="451" w:right="114" w:hanging="30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Agente colocador:  las labores de agente colocador serán realizadas por el BBVA.</w:t>
      </w:r>
    </w:p>
    <w:p w:rsidR="00000000" w:rsidDel="00000000" w:rsidP="00000000" w:rsidRDefault="00000000" w:rsidRPr="00000000" w14:paraId="000000E5">
      <w:pPr>
        <w:spacing w:before="8" w:lineRule="auto"/>
        <w:rPr/>
      </w:pPr>
      <w:r w:rsidDel="00000000" w:rsidR="00000000" w:rsidRPr="00000000">
        <w:rPr>
          <w:rtl w:val="0"/>
        </w:rPr>
      </w:r>
    </w:p>
    <w:p w:rsidR="00000000" w:rsidDel="00000000" w:rsidP="00000000" w:rsidRDefault="00000000" w:rsidRPr="00000000" w14:paraId="000000E6">
      <w:pPr>
        <w:numPr>
          <w:ilvl w:val="0"/>
          <w:numId w:val="3"/>
        </w:numPr>
        <w:pBdr>
          <w:top w:space="0" w:sz="0" w:val="nil"/>
          <w:left w:space="0" w:sz="0" w:val="nil"/>
          <w:bottom w:space="0" w:sz="0" w:val="nil"/>
          <w:right w:space="0" w:sz="0" w:val="nil"/>
          <w:between w:space="0" w:sz="0" w:val="nil"/>
        </w:pBdr>
        <w:tabs>
          <w:tab w:val="left" w:leader="none" w:pos="340"/>
        </w:tabs>
        <w:ind w:left="340" w:right="5404" w:hanging="24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Factores de Riesgo de las Inversiones</w:t>
      </w:r>
      <w:r w:rsidDel="00000000" w:rsidR="00000000" w:rsidRPr="00000000">
        <w:rPr>
          <w:rtl w:val="0"/>
        </w:rPr>
      </w:r>
    </w:p>
    <w:p w:rsidR="00000000" w:rsidDel="00000000" w:rsidP="00000000" w:rsidRDefault="00000000" w:rsidRPr="00000000" w14:paraId="000000E7">
      <w:pPr>
        <w:spacing w:before="15" w:lineRule="auto"/>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4" w:lineRule="auto"/>
        <w:ind w:left="100" w:right="11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valor de los instrumentos u operaciones financieras que componen la cartera de El FONDO está expuesto a las fluctuaciones de las condiciones del mercado y otros riesgos inherentes a las inversiones que pueden ocasionar que dicho valor disminuya y ello genere pérdidas a los partícipes del FONDO. Por lo tanto, el partícipe debe ser consciente que el valor de la cuota del FONDO puede fluctuar tanto al alza como a la baja.</w:t>
      </w:r>
    </w:p>
    <w:p w:rsidR="00000000" w:rsidDel="00000000" w:rsidP="00000000" w:rsidRDefault="00000000" w:rsidRPr="00000000" w14:paraId="000000E9">
      <w:pPr>
        <w:spacing w:before="6" w:lineRule="auto"/>
        <w:rPr>
          <w:rFonts w:ascii="Arial" w:cs="Arial" w:eastAsia="Arial" w:hAnsi="Arial"/>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ind w:left="1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Principales riesgos inherentes a la inversión en el FONDO:</w:t>
      </w:r>
    </w:p>
    <w:p w:rsidR="00000000" w:rsidDel="00000000" w:rsidP="00000000" w:rsidRDefault="00000000" w:rsidRPr="00000000" w14:paraId="000000EB">
      <w:pPr>
        <w:spacing w:before="8" w:lineRule="auto"/>
        <w:rPr>
          <w:rFonts w:ascii="Arial" w:cs="Arial" w:eastAsia="Arial" w:hAnsi="Arial"/>
        </w:rPr>
      </w:pPr>
      <w:r w:rsidDel="00000000" w:rsidR="00000000" w:rsidRPr="00000000">
        <w:rPr>
          <w:rtl w:val="0"/>
        </w:rPr>
      </w:r>
    </w:p>
    <w:p w:rsidR="00000000" w:rsidDel="00000000" w:rsidP="00000000" w:rsidRDefault="00000000" w:rsidRPr="00000000" w14:paraId="000000EC">
      <w:pPr>
        <w:numPr>
          <w:ilvl w:val="0"/>
          <w:numId w:val="7"/>
        </w:numPr>
        <w:pBdr>
          <w:top w:space="0" w:sz="0" w:val="nil"/>
          <w:left w:space="0" w:sz="0" w:val="nil"/>
          <w:bottom w:space="0" w:sz="0" w:val="nil"/>
          <w:right w:space="0" w:sz="0" w:val="nil"/>
          <w:between w:space="0" w:sz="0" w:val="nil"/>
        </w:pBdr>
        <w:tabs>
          <w:tab w:val="left" w:leader="none" w:pos="451"/>
        </w:tabs>
        <w:spacing w:line="245" w:lineRule="auto"/>
        <w:ind w:left="451" w:right="114" w:hanging="351"/>
        <w:jc w:val="both"/>
        <w:rPr>
          <w:rFonts w:ascii="Helvetica Neue" w:cs="Helvetica Neue" w:eastAsia="Helvetica Neue" w:hAnsi="Helvetica Neue"/>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Riesgo de tasa de interés:</w:t>
      </w:r>
      <w:r w:rsidDel="00000000" w:rsidR="00000000" w:rsidRPr="00000000">
        <w:rPr>
          <w:rFonts w:ascii="Arial" w:cs="Arial" w:eastAsia="Arial" w:hAnsi="Arial"/>
          <w:color w:val="000000"/>
          <w:sz w:val="20"/>
          <w:szCs w:val="20"/>
          <w:highlight w:val="white"/>
          <w:rtl w:val="0"/>
        </w:rPr>
        <w:t xml:space="preserve"> Posibilidad de que disminuya el valor de las inversiones del FONDO, y, por consiguiente, el valor de cuota, como consecuencia de aumentos en las tasas de rendimiento de mercado, pudiendo ocasionar inclusive pérdidas. El impacto de las variaciones en las tasas de interés de mercado dependerá de las características del instrumento, de su plazo, de su categoría de riesgo, entre otras. </w:t>
      </w:r>
      <w:r w:rsidDel="00000000" w:rsidR="00000000" w:rsidRPr="00000000">
        <w:rPr>
          <w:rtl w:val="0"/>
        </w:rPr>
      </w:r>
    </w:p>
    <w:p w:rsidR="00000000" w:rsidDel="00000000" w:rsidP="00000000" w:rsidRDefault="00000000" w:rsidRPr="00000000" w14:paraId="000000ED">
      <w:pPr>
        <w:numPr>
          <w:ilvl w:val="0"/>
          <w:numId w:val="7"/>
        </w:numPr>
        <w:pBdr>
          <w:top w:space="0" w:sz="0" w:val="nil"/>
          <w:left w:space="0" w:sz="0" w:val="nil"/>
          <w:bottom w:space="0" w:sz="0" w:val="nil"/>
          <w:right w:space="0" w:sz="0" w:val="nil"/>
          <w:between w:space="0" w:sz="0" w:val="nil"/>
        </w:pBdr>
        <w:tabs>
          <w:tab w:val="left" w:leader="none" w:pos="451"/>
        </w:tabs>
        <w:spacing w:line="245" w:lineRule="auto"/>
        <w:ind w:left="451" w:right="114" w:hanging="351"/>
        <w:jc w:val="both"/>
        <w:rPr>
          <w:rFonts w:ascii="Helvetica Neue" w:cs="Helvetica Neue" w:eastAsia="Helvetica Neue" w:hAnsi="Helvetica Neue"/>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Riesgo cambiario: </w:t>
      </w:r>
      <w:r w:rsidDel="00000000" w:rsidR="00000000" w:rsidRPr="00000000">
        <w:rPr>
          <w:rFonts w:ascii="Arial" w:cs="Arial" w:eastAsia="Arial" w:hAnsi="Arial"/>
          <w:color w:val="000000"/>
          <w:sz w:val="20"/>
          <w:szCs w:val="20"/>
          <w:highlight w:val="white"/>
          <w:rtl w:val="0"/>
        </w:rPr>
        <w:t xml:space="preserve">Posibilidad de que disminuya el valor de las inversiones del FONDO, y, por consiguiente, el valor de cuota, como consecuencia de la disminución en el valor de la moneda en que se efectúan las inversiones del fondo respecto de otra moneda en la cual invierte la Administradora los recursos del FONDO.</w:t>
      </w:r>
      <w:r w:rsidDel="00000000" w:rsidR="00000000" w:rsidRPr="00000000">
        <w:rPr>
          <w:rtl w:val="0"/>
        </w:rPr>
      </w:r>
    </w:p>
    <w:p w:rsidR="00000000" w:rsidDel="00000000" w:rsidP="00000000" w:rsidRDefault="00000000" w:rsidRPr="00000000" w14:paraId="000000EE">
      <w:pPr>
        <w:numPr>
          <w:ilvl w:val="0"/>
          <w:numId w:val="7"/>
        </w:numPr>
        <w:pBdr>
          <w:top w:space="0" w:sz="0" w:val="nil"/>
          <w:left w:space="0" w:sz="0" w:val="nil"/>
          <w:bottom w:space="0" w:sz="0" w:val="nil"/>
          <w:right w:space="0" w:sz="0" w:val="nil"/>
          <w:between w:space="0" w:sz="0" w:val="nil"/>
        </w:pBdr>
        <w:tabs>
          <w:tab w:val="left" w:leader="none" w:pos="451"/>
        </w:tabs>
        <w:spacing w:line="245" w:lineRule="auto"/>
        <w:ind w:left="451" w:right="114" w:hanging="351"/>
        <w:jc w:val="both"/>
        <w:rPr>
          <w:rFonts w:ascii="Helvetica Neue" w:cs="Helvetica Neue" w:eastAsia="Helvetica Neue" w:hAnsi="Helvetica Neue"/>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Riesgo de liquidez de la cartera:</w:t>
      </w:r>
      <w:r w:rsidDel="00000000" w:rsidR="00000000" w:rsidRPr="00000000">
        <w:rPr>
          <w:rFonts w:ascii="Arial" w:cs="Arial" w:eastAsia="Arial" w:hAnsi="Arial"/>
          <w:color w:val="000000"/>
          <w:sz w:val="20"/>
          <w:szCs w:val="20"/>
          <w:highlight w:val="white"/>
          <w:rtl w:val="0"/>
        </w:rPr>
        <w:t xml:space="preserve"> Dificultad para vender instrumentos componentes de la cartera del FONDO en la oportunidad solicitada por la Administradora, lo cual podría ocasionar problemas en el pago de los rescates o en el precio de venta.</w:t>
      </w:r>
      <w:r w:rsidDel="00000000" w:rsidR="00000000" w:rsidRPr="00000000">
        <w:rPr>
          <w:rtl w:val="0"/>
        </w:rPr>
      </w:r>
    </w:p>
    <w:p w:rsidR="00000000" w:rsidDel="00000000" w:rsidP="00000000" w:rsidRDefault="00000000" w:rsidRPr="00000000" w14:paraId="000000EF">
      <w:pPr>
        <w:numPr>
          <w:ilvl w:val="0"/>
          <w:numId w:val="7"/>
        </w:numPr>
        <w:pBdr>
          <w:top w:space="0" w:sz="0" w:val="nil"/>
          <w:left w:space="0" w:sz="0" w:val="nil"/>
          <w:bottom w:space="0" w:sz="0" w:val="nil"/>
          <w:right w:space="0" w:sz="0" w:val="nil"/>
          <w:between w:space="0" w:sz="0" w:val="nil"/>
        </w:pBdr>
        <w:tabs>
          <w:tab w:val="left" w:leader="none" w:pos="451"/>
        </w:tabs>
        <w:spacing w:line="245" w:lineRule="auto"/>
        <w:ind w:left="451" w:right="114" w:hanging="351"/>
        <w:jc w:val="both"/>
        <w:rPr>
          <w:rFonts w:ascii="Helvetica Neue" w:cs="Helvetica Neue" w:eastAsia="Helvetica Neue" w:hAnsi="Helvetica Neue"/>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Riesgo país:</w:t>
      </w:r>
      <w:r w:rsidDel="00000000" w:rsidR="00000000" w:rsidRPr="00000000">
        <w:rPr>
          <w:rFonts w:ascii="Arial" w:cs="Arial" w:eastAsia="Arial" w:hAnsi="Arial"/>
          <w:color w:val="000000"/>
          <w:sz w:val="20"/>
          <w:szCs w:val="20"/>
          <w:highlight w:val="white"/>
          <w:rtl w:val="0"/>
        </w:rPr>
        <w:t xml:space="preserve"> Posibles disminuciones en el valor de las inversiones del FONDO, y en el valor cuota como consecuencia de cambios en la coyuntura económica, financiera, jurídica y política del país en que se invierte, pudiendo ocasionar pérdidas de capital.</w:t>
      </w:r>
      <w:r w:rsidDel="00000000" w:rsidR="00000000" w:rsidRPr="00000000">
        <w:rPr>
          <w:rtl w:val="0"/>
        </w:rPr>
      </w:r>
    </w:p>
    <w:p w:rsidR="00000000" w:rsidDel="00000000" w:rsidP="00000000" w:rsidRDefault="00000000" w:rsidRPr="00000000" w14:paraId="000000F0">
      <w:pPr>
        <w:numPr>
          <w:ilvl w:val="0"/>
          <w:numId w:val="7"/>
        </w:numPr>
        <w:pBdr>
          <w:top w:space="0" w:sz="0" w:val="nil"/>
          <w:left w:space="0" w:sz="0" w:val="nil"/>
          <w:bottom w:space="0" w:sz="0" w:val="nil"/>
          <w:right w:space="0" w:sz="0" w:val="nil"/>
          <w:between w:space="0" w:sz="0" w:val="nil"/>
        </w:pBdr>
        <w:tabs>
          <w:tab w:val="left" w:leader="none" w:pos="451"/>
        </w:tabs>
        <w:spacing w:line="245" w:lineRule="auto"/>
        <w:ind w:left="451" w:right="114" w:hanging="351"/>
        <w:jc w:val="both"/>
        <w:rPr>
          <w:rFonts w:ascii="Helvetica Neue" w:cs="Helvetica Neue" w:eastAsia="Helvetica Neue" w:hAnsi="Helvetica Neue"/>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Riesgo sectorial:</w:t>
      </w:r>
      <w:r w:rsidDel="00000000" w:rsidR="00000000" w:rsidRPr="00000000">
        <w:rPr>
          <w:rFonts w:ascii="Arial" w:cs="Arial" w:eastAsia="Arial" w:hAnsi="Arial"/>
          <w:color w:val="000000"/>
          <w:sz w:val="20"/>
          <w:szCs w:val="20"/>
          <w:highlight w:val="white"/>
          <w:rtl w:val="0"/>
        </w:rPr>
        <w:t xml:space="preserve">  Posibles reducciones en el valor de las inversiones derivadas de un comportamiento desfavorable del sector económico y de producción, al cual pertenece la empresa emisora del instrumento financiero que conforma la cartera del fondo mutuo.</w:t>
      </w:r>
      <w:r w:rsidDel="00000000" w:rsidR="00000000" w:rsidRPr="00000000">
        <w:rPr>
          <w:rtl w:val="0"/>
        </w:rPr>
      </w:r>
    </w:p>
    <w:p w:rsidR="00000000" w:rsidDel="00000000" w:rsidP="00000000" w:rsidRDefault="00000000" w:rsidRPr="00000000" w14:paraId="000000F1">
      <w:pPr>
        <w:numPr>
          <w:ilvl w:val="0"/>
          <w:numId w:val="7"/>
        </w:numPr>
        <w:pBdr>
          <w:top w:space="0" w:sz="0" w:val="nil"/>
          <w:left w:space="0" w:sz="0" w:val="nil"/>
          <w:bottom w:space="0" w:sz="0" w:val="nil"/>
          <w:right w:space="0" w:sz="0" w:val="nil"/>
          <w:between w:space="0" w:sz="0" w:val="nil"/>
        </w:pBdr>
        <w:tabs>
          <w:tab w:val="left" w:leader="none" w:pos="451"/>
        </w:tabs>
        <w:spacing w:line="245" w:lineRule="auto"/>
        <w:ind w:left="451" w:right="114" w:hanging="351"/>
        <w:jc w:val="both"/>
        <w:rPr>
          <w:rFonts w:ascii="Helvetica Neue" w:cs="Helvetica Neue" w:eastAsia="Helvetica Neue" w:hAnsi="Helvetica Neue"/>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Riesgo emisor:</w:t>
      </w:r>
      <w:r w:rsidDel="00000000" w:rsidR="00000000" w:rsidRPr="00000000">
        <w:rPr>
          <w:rFonts w:ascii="Arial" w:cs="Arial" w:eastAsia="Arial" w:hAnsi="Arial"/>
          <w:color w:val="000000"/>
          <w:sz w:val="20"/>
          <w:szCs w:val="20"/>
          <w:highlight w:val="white"/>
          <w:rtl w:val="0"/>
        </w:rPr>
        <w:t xml:space="preserve"> Posible disminución en el valor de las inversiones derivado de factores que afecten la capacidad del emisor para cumplir con sus compromisos de pagar intereses o reembolsar del principal en las oportunidades previstas.</w:t>
      </w:r>
      <w:r w:rsidDel="00000000" w:rsidR="00000000" w:rsidRPr="00000000">
        <w:rPr>
          <w:rtl w:val="0"/>
        </w:rPr>
      </w:r>
    </w:p>
    <w:p w:rsidR="00000000" w:rsidDel="00000000" w:rsidP="00000000" w:rsidRDefault="00000000" w:rsidRPr="00000000" w14:paraId="000000F2">
      <w:pPr>
        <w:numPr>
          <w:ilvl w:val="0"/>
          <w:numId w:val="7"/>
        </w:numPr>
        <w:pBdr>
          <w:top w:space="0" w:sz="0" w:val="nil"/>
          <w:left w:space="0" w:sz="0" w:val="nil"/>
          <w:bottom w:space="0" w:sz="0" w:val="nil"/>
          <w:right w:space="0" w:sz="0" w:val="nil"/>
          <w:between w:space="0" w:sz="0" w:val="nil"/>
        </w:pBdr>
        <w:tabs>
          <w:tab w:val="left" w:leader="none" w:pos="451"/>
        </w:tabs>
        <w:spacing w:line="245" w:lineRule="auto"/>
        <w:ind w:left="451" w:right="114" w:hanging="351"/>
        <w:jc w:val="both"/>
        <w:rPr>
          <w:rFonts w:ascii="Helvetica Neue" w:cs="Helvetica Neue" w:eastAsia="Helvetica Neue" w:hAnsi="Helvetica Neue"/>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Riesgo de reinversión:</w:t>
      </w:r>
      <w:r w:rsidDel="00000000" w:rsidR="00000000" w:rsidRPr="00000000">
        <w:rPr>
          <w:rFonts w:ascii="Arial" w:cs="Arial" w:eastAsia="Arial" w:hAnsi="Arial"/>
          <w:color w:val="000000"/>
          <w:sz w:val="20"/>
          <w:szCs w:val="20"/>
          <w:highlight w:val="white"/>
          <w:rtl w:val="0"/>
        </w:rPr>
        <w:t xml:space="preserve"> Posibilidad que los rendimientos de las nuevas inversiones del FONDO provenientes del efectivo que es reinvertido no sea la misma como consecuencia de la variación de las tasas de rendimiento de mercado, lo que ocasionaría una disminución de la rentabilidad del FONDO.</w:t>
      </w:r>
      <w:r w:rsidDel="00000000" w:rsidR="00000000" w:rsidRPr="00000000">
        <w:rPr>
          <w:rtl w:val="0"/>
        </w:rPr>
      </w:r>
    </w:p>
    <w:p w:rsidR="00000000" w:rsidDel="00000000" w:rsidP="00000000" w:rsidRDefault="00000000" w:rsidRPr="00000000" w14:paraId="000000F3">
      <w:pPr>
        <w:numPr>
          <w:ilvl w:val="0"/>
          <w:numId w:val="7"/>
        </w:numPr>
        <w:pBdr>
          <w:top w:space="0" w:sz="0" w:val="nil"/>
          <w:left w:space="0" w:sz="0" w:val="nil"/>
          <w:bottom w:space="0" w:sz="0" w:val="nil"/>
          <w:right w:space="0" w:sz="0" w:val="nil"/>
          <w:between w:space="0" w:sz="0" w:val="nil"/>
        </w:pBdr>
        <w:tabs>
          <w:tab w:val="left" w:leader="none" w:pos="451"/>
        </w:tabs>
        <w:spacing w:line="245" w:lineRule="auto"/>
        <w:ind w:left="451" w:right="114" w:hanging="351"/>
        <w:jc w:val="both"/>
        <w:rPr>
          <w:rFonts w:ascii="Helvetica Neue" w:cs="Helvetica Neue" w:eastAsia="Helvetica Neue" w:hAnsi="Helvetica Neue"/>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Riesgo de contraparte: </w:t>
      </w:r>
      <w:r w:rsidDel="00000000" w:rsidR="00000000" w:rsidRPr="00000000">
        <w:rPr>
          <w:rFonts w:ascii="Arial" w:cs="Arial" w:eastAsia="Arial" w:hAnsi="Arial"/>
          <w:color w:val="000000"/>
          <w:sz w:val="20"/>
          <w:szCs w:val="20"/>
          <w:highlight w:val="white"/>
          <w:rtl w:val="0"/>
        </w:rPr>
        <w:t xml:space="preserve">Posibilidad que la contraparte de una operación incumpla su obligación de entregar el dinero o los valores, o no lo entreguen oportunamente, ocasionando pérdidas o disminución de la rentabilidad del FONDO.</w:t>
      </w:r>
      <w:r w:rsidDel="00000000" w:rsidR="00000000" w:rsidRPr="00000000">
        <w:rPr>
          <w:rtl w:val="0"/>
        </w:rPr>
      </w:r>
    </w:p>
    <w:p w:rsidR="00000000" w:rsidDel="00000000" w:rsidP="00000000" w:rsidRDefault="00000000" w:rsidRPr="00000000" w14:paraId="000000F4">
      <w:pPr>
        <w:numPr>
          <w:ilvl w:val="0"/>
          <w:numId w:val="7"/>
        </w:numPr>
        <w:pBdr>
          <w:top w:space="0" w:sz="0" w:val="nil"/>
          <w:left w:space="0" w:sz="0" w:val="nil"/>
          <w:bottom w:space="0" w:sz="0" w:val="nil"/>
          <w:right w:space="0" w:sz="0" w:val="nil"/>
          <w:between w:space="0" w:sz="0" w:val="nil"/>
        </w:pBdr>
        <w:tabs>
          <w:tab w:val="left" w:leader="none" w:pos="451"/>
        </w:tabs>
        <w:spacing w:line="245" w:lineRule="auto"/>
        <w:ind w:left="451" w:right="114" w:hanging="351"/>
        <w:jc w:val="both"/>
        <w:rPr>
          <w:rFonts w:ascii="Helvetica Neue" w:cs="Helvetica Neue" w:eastAsia="Helvetica Neue" w:hAnsi="Helvetica Neue"/>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Riesgo tributario:</w:t>
      </w:r>
      <w:r w:rsidDel="00000000" w:rsidR="00000000" w:rsidRPr="00000000">
        <w:rPr>
          <w:rFonts w:ascii="Arial" w:cs="Arial" w:eastAsia="Arial" w:hAnsi="Arial"/>
          <w:color w:val="000000"/>
          <w:sz w:val="20"/>
          <w:szCs w:val="20"/>
          <w:highlight w:val="white"/>
          <w:rtl w:val="0"/>
        </w:rPr>
        <w:t xml:space="preserve"> Posibilidad de disminuciones en el valor de las inversiones del FONDO proveniente de modificaciones al régimen tributario que les es aplicable.</w:t>
      </w:r>
      <w:r w:rsidDel="00000000" w:rsidR="00000000" w:rsidRPr="00000000">
        <w:rPr>
          <w:rtl w:val="0"/>
        </w:rPr>
      </w:r>
    </w:p>
    <w:p w:rsidR="00000000" w:rsidDel="00000000" w:rsidP="00000000" w:rsidRDefault="00000000" w:rsidRPr="00000000" w14:paraId="000000F5">
      <w:pPr>
        <w:numPr>
          <w:ilvl w:val="0"/>
          <w:numId w:val="7"/>
        </w:numPr>
        <w:pBdr>
          <w:top w:space="0" w:sz="0" w:val="nil"/>
          <w:left w:space="0" w:sz="0" w:val="nil"/>
          <w:bottom w:space="0" w:sz="0" w:val="nil"/>
          <w:right w:space="0" w:sz="0" w:val="nil"/>
          <w:between w:space="0" w:sz="0" w:val="nil"/>
        </w:pBdr>
        <w:tabs>
          <w:tab w:val="left" w:leader="none" w:pos="451"/>
        </w:tabs>
        <w:spacing w:line="245" w:lineRule="auto"/>
        <w:ind w:left="451" w:right="114" w:hanging="351"/>
        <w:jc w:val="both"/>
        <w:rPr>
          <w:rFonts w:ascii="Helvetica Neue" w:cs="Helvetica Neue" w:eastAsia="Helvetica Neue" w:hAnsi="Helvetica Neue"/>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Riesgo de excesos de inversión o inversiones no permitidas:</w:t>
      </w:r>
      <w:r w:rsidDel="00000000" w:rsidR="00000000" w:rsidRPr="00000000">
        <w:rPr>
          <w:rFonts w:ascii="Arial" w:cs="Arial" w:eastAsia="Arial" w:hAnsi="Arial"/>
          <w:color w:val="000000"/>
          <w:sz w:val="20"/>
          <w:szCs w:val="20"/>
          <w:highlight w:val="white"/>
          <w:rtl w:val="0"/>
        </w:rPr>
        <w:t xml:space="preserve"> Posibilidad que la Administradora mantenga inversiones que no cumplen la política de inversión y puedan acarrear un riesgo del portafolio distinto al adquirido.</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ind w:left="100" w:right="3131" w:firstLine="0"/>
        <w:jc w:val="both"/>
        <w:rPr>
          <w:rFonts w:ascii="Helvetica Neue" w:cs="Helvetica Neue" w:eastAsia="Helvetica Neue" w:hAnsi="Helvetica Neue"/>
          <w:color w:val="000000"/>
          <w:sz w:val="20"/>
          <w:szCs w:val="20"/>
          <w:highlight w:val="white"/>
        </w:rPr>
      </w:pPr>
      <w:r w:rsidDel="00000000" w:rsidR="00000000" w:rsidRPr="00000000">
        <w:rPr>
          <w:rtl w:val="0"/>
        </w:rPr>
      </w:r>
    </w:p>
    <w:sectPr>
      <w:type w:val="nextPage"/>
      <w:pgSz w:h="16840" w:w="11900" w:orient="portrait"/>
      <w:pgMar w:bottom="280" w:top="1600" w:left="1260" w:right="10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mbria Math">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-409567</wp:posOffset>
          </wp:positionH>
          <wp:positionV relativeFrom="paragraph">
            <wp:posOffset>-228593</wp:posOffset>
          </wp:positionV>
          <wp:extent cx="1866900" cy="523240"/>
          <wp:effectExtent b="0" l="0" r="0" t="0"/>
          <wp:wrapSquare wrapText="bothSides" distB="0" distT="0" distL="114300" distR="114300"/>
          <wp:docPr id="4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66900" cy="52324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1" w:hanging="351"/>
      </w:pPr>
      <w:rPr>
        <w:rFonts w:ascii="Times New Roman" w:cs="Times New Roman" w:eastAsia="Times New Roman" w:hAnsi="Times New Roman"/>
        <w:sz w:val="21"/>
        <w:szCs w:val="21"/>
      </w:rPr>
    </w:lvl>
    <w:lvl w:ilvl="1">
      <w:start w:val="1"/>
      <w:numFmt w:val="bullet"/>
      <w:lvlText w:val="•"/>
      <w:lvlJc w:val="left"/>
      <w:pPr>
        <w:ind w:left="1370" w:hanging="351"/>
      </w:pPr>
      <w:rPr/>
    </w:lvl>
    <w:lvl w:ilvl="2">
      <w:start w:val="1"/>
      <w:numFmt w:val="bullet"/>
      <w:lvlText w:val="•"/>
      <w:lvlJc w:val="left"/>
      <w:pPr>
        <w:ind w:left="2288" w:hanging="350"/>
      </w:pPr>
      <w:rPr/>
    </w:lvl>
    <w:lvl w:ilvl="3">
      <w:start w:val="1"/>
      <w:numFmt w:val="bullet"/>
      <w:lvlText w:val="•"/>
      <w:lvlJc w:val="left"/>
      <w:pPr>
        <w:ind w:left="3207" w:hanging="351.00000000000045"/>
      </w:pPr>
      <w:rPr/>
    </w:lvl>
    <w:lvl w:ilvl="4">
      <w:start w:val="1"/>
      <w:numFmt w:val="bullet"/>
      <w:lvlText w:val="•"/>
      <w:lvlJc w:val="left"/>
      <w:pPr>
        <w:ind w:left="4126" w:hanging="351"/>
      </w:pPr>
      <w:rPr/>
    </w:lvl>
    <w:lvl w:ilvl="5">
      <w:start w:val="1"/>
      <w:numFmt w:val="bullet"/>
      <w:lvlText w:val="•"/>
      <w:lvlJc w:val="left"/>
      <w:pPr>
        <w:ind w:left="5045" w:hanging="351"/>
      </w:pPr>
      <w:rPr/>
    </w:lvl>
    <w:lvl w:ilvl="6">
      <w:start w:val="1"/>
      <w:numFmt w:val="bullet"/>
      <w:lvlText w:val="•"/>
      <w:lvlJc w:val="left"/>
      <w:pPr>
        <w:ind w:left="5964" w:hanging="351"/>
      </w:pPr>
      <w:rPr/>
    </w:lvl>
    <w:lvl w:ilvl="7">
      <w:start w:val="1"/>
      <w:numFmt w:val="bullet"/>
      <w:lvlText w:val="•"/>
      <w:lvlJc w:val="left"/>
      <w:pPr>
        <w:ind w:left="6883" w:hanging="351.0000000000009"/>
      </w:pPr>
      <w:rPr/>
    </w:lvl>
    <w:lvl w:ilvl="8">
      <w:start w:val="1"/>
      <w:numFmt w:val="bullet"/>
      <w:lvlText w:val="•"/>
      <w:lvlJc w:val="left"/>
      <w:pPr>
        <w:ind w:left="7802" w:hanging="351"/>
      </w:pPr>
      <w:rPr/>
    </w:lvl>
  </w:abstractNum>
  <w:abstractNum w:abstractNumId="2">
    <w:lvl w:ilvl="0">
      <w:start w:val="1"/>
      <w:numFmt w:val="lowerLetter"/>
      <w:lvlText w:val="%1)"/>
      <w:lvlJc w:val="left"/>
      <w:pPr>
        <w:ind w:left="352" w:hanging="251"/>
      </w:pPr>
      <w:rPr>
        <w:rFonts w:ascii="Arial" w:cs="Arial" w:eastAsia="Arial" w:hAnsi="Arial"/>
        <w:sz w:val="21"/>
        <w:szCs w:val="21"/>
      </w:rPr>
    </w:lvl>
    <w:lvl w:ilvl="1">
      <w:start w:val="1"/>
      <w:numFmt w:val="bullet"/>
      <w:lvlText w:val="•"/>
      <w:lvlJc w:val="left"/>
      <w:pPr>
        <w:ind w:left="1281" w:hanging="252"/>
      </w:pPr>
      <w:rPr/>
    </w:lvl>
    <w:lvl w:ilvl="2">
      <w:start w:val="1"/>
      <w:numFmt w:val="bullet"/>
      <w:lvlText w:val="•"/>
      <w:lvlJc w:val="left"/>
      <w:pPr>
        <w:ind w:left="2210" w:hanging="252"/>
      </w:pPr>
      <w:rPr/>
    </w:lvl>
    <w:lvl w:ilvl="3">
      <w:start w:val="1"/>
      <w:numFmt w:val="bullet"/>
      <w:lvlText w:val="•"/>
      <w:lvlJc w:val="left"/>
      <w:pPr>
        <w:ind w:left="3138" w:hanging="252"/>
      </w:pPr>
      <w:rPr/>
    </w:lvl>
    <w:lvl w:ilvl="4">
      <w:start w:val="1"/>
      <w:numFmt w:val="bullet"/>
      <w:lvlText w:val="•"/>
      <w:lvlJc w:val="left"/>
      <w:pPr>
        <w:ind w:left="4067" w:hanging="252"/>
      </w:pPr>
      <w:rPr/>
    </w:lvl>
    <w:lvl w:ilvl="5">
      <w:start w:val="1"/>
      <w:numFmt w:val="bullet"/>
      <w:lvlText w:val="•"/>
      <w:lvlJc w:val="left"/>
      <w:pPr>
        <w:ind w:left="4996" w:hanging="252"/>
      </w:pPr>
      <w:rPr/>
    </w:lvl>
    <w:lvl w:ilvl="6">
      <w:start w:val="1"/>
      <w:numFmt w:val="bullet"/>
      <w:lvlText w:val="•"/>
      <w:lvlJc w:val="left"/>
      <w:pPr>
        <w:ind w:left="5925" w:hanging="252"/>
      </w:pPr>
      <w:rPr/>
    </w:lvl>
    <w:lvl w:ilvl="7">
      <w:start w:val="1"/>
      <w:numFmt w:val="bullet"/>
      <w:lvlText w:val="•"/>
      <w:lvlJc w:val="left"/>
      <w:pPr>
        <w:ind w:left="6853" w:hanging="252.0000000000009"/>
      </w:pPr>
      <w:rPr/>
    </w:lvl>
    <w:lvl w:ilvl="8">
      <w:start w:val="1"/>
      <w:numFmt w:val="bullet"/>
      <w:lvlText w:val="•"/>
      <w:lvlJc w:val="left"/>
      <w:pPr>
        <w:ind w:left="7782" w:hanging="252"/>
      </w:pPr>
      <w:rPr/>
    </w:lvl>
  </w:abstractNum>
  <w:abstractNum w:abstractNumId="3">
    <w:lvl w:ilvl="0">
      <w:start w:val="3"/>
      <w:numFmt w:val="decimal"/>
      <w:lvlText w:val="%1."/>
      <w:lvlJc w:val="left"/>
      <w:pPr>
        <w:ind w:left="340" w:hanging="240"/>
      </w:pPr>
      <w:rPr>
        <w:rFonts w:ascii="Arial" w:cs="Arial" w:eastAsia="Arial" w:hAnsi="Arial"/>
        <w:b w:val="1"/>
        <w:sz w:val="21"/>
        <w:szCs w:val="21"/>
      </w:rPr>
    </w:lvl>
    <w:lvl w:ilvl="1">
      <w:start w:val="1"/>
      <w:numFmt w:val="bullet"/>
      <w:lvlText w:val="•"/>
      <w:lvlJc w:val="left"/>
      <w:pPr>
        <w:ind w:left="1270" w:hanging="240"/>
      </w:pPr>
      <w:rPr/>
    </w:lvl>
    <w:lvl w:ilvl="2">
      <w:start w:val="1"/>
      <w:numFmt w:val="bullet"/>
      <w:lvlText w:val="•"/>
      <w:lvlJc w:val="left"/>
      <w:pPr>
        <w:ind w:left="2200" w:hanging="240"/>
      </w:pPr>
      <w:rPr/>
    </w:lvl>
    <w:lvl w:ilvl="3">
      <w:start w:val="1"/>
      <w:numFmt w:val="bullet"/>
      <w:lvlText w:val="•"/>
      <w:lvlJc w:val="left"/>
      <w:pPr>
        <w:ind w:left="3130" w:hanging="240"/>
      </w:pPr>
      <w:rPr/>
    </w:lvl>
    <w:lvl w:ilvl="4">
      <w:start w:val="1"/>
      <w:numFmt w:val="bullet"/>
      <w:lvlText w:val="•"/>
      <w:lvlJc w:val="left"/>
      <w:pPr>
        <w:ind w:left="4060" w:hanging="240"/>
      </w:pPr>
      <w:rPr/>
    </w:lvl>
    <w:lvl w:ilvl="5">
      <w:start w:val="1"/>
      <w:numFmt w:val="bullet"/>
      <w:lvlText w:val="•"/>
      <w:lvlJc w:val="left"/>
      <w:pPr>
        <w:ind w:left="4990" w:hanging="240"/>
      </w:pPr>
      <w:rPr/>
    </w:lvl>
    <w:lvl w:ilvl="6">
      <w:start w:val="1"/>
      <w:numFmt w:val="bullet"/>
      <w:lvlText w:val="•"/>
      <w:lvlJc w:val="left"/>
      <w:pPr>
        <w:ind w:left="5920" w:hanging="240"/>
      </w:pPr>
      <w:rPr/>
    </w:lvl>
    <w:lvl w:ilvl="7">
      <w:start w:val="1"/>
      <w:numFmt w:val="bullet"/>
      <w:lvlText w:val="•"/>
      <w:lvlJc w:val="left"/>
      <w:pPr>
        <w:ind w:left="6850" w:hanging="240"/>
      </w:pPr>
      <w:rPr/>
    </w:lvl>
    <w:lvl w:ilvl="8">
      <w:start w:val="1"/>
      <w:numFmt w:val="bullet"/>
      <w:lvlText w:val="•"/>
      <w:lvlJc w:val="left"/>
      <w:pPr>
        <w:ind w:left="7780" w:hanging="240"/>
      </w:pPr>
      <w:rPr/>
    </w:lvl>
  </w:abstractNum>
  <w:abstractNum w:abstractNumId="4">
    <w:lvl w:ilvl="0">
      <w:start w:val="2"/>
      <w:numFmt w:val="decimal"/>
      <w:lvlText w:val="%1"/>
      <w:lvlJc w:val="left"/>
      <w:pPr>
        <w:ind w:left="280" w:hanging="180"/>
      </w:pPr>
      <w:rPr>
        <w:rFonts w:ascii="Arial" w:cs="Arial" w:eastAsia="Arial" w:hAnsi="Arial"/>
        <w:sz w:val="21"/>
        <w:szCs w:val="21"/>
      </w:rPr>
    </w:lvl>
    <w:lvl w:ilvl="1">
      <w:start w:val="1"/>
      <w:numFmt w:val="decimal"/>
      <w:lvlText w:val="%1.%2"/>
      <w:lvlJc w:val="left"/>
      <w:pPr>
        <w:ind w:left="458" w:hanging="358"/>
      </w:pPr>
      <w:rPr>
        <w:rFonts w:ascii="Arial" w:cs="Arial" w:eastAsia="Arial" w:hAnsi="Arial"/>
        <w:b w:val="1"/>
        <w:sz w:val="21"/>
        <w:szCs w:val="21"/>
      </w:rPr>
    </w:lvl>
    <w:lvl w:ilvl="2">
      <w:start w:val="1"/>
      <w:numFmt w:val="bullet"/>
      <w:lvlText w:val="•"/>
      <w:lvlJc w:val="left"/>
      <w:pPr>
        <w:ind w:left="1478" w:hanging="357"/>
      </w:pPr>
      <w:rPr/>
    </w:lvl>
    <w:lvl w:ilvl="3">
      <w:start w:val="1"/>
      <w:numFmt w:val="bullet"/>
      <w:lvlText w:val="•"/>
      <w:lvlJc w:val="left"/>
      <w:pPr>
        <w:ind w:left="2498" w:hanging="358"/>
      </w:pPr>
      <w:rPr/>
    </w:lvl>
    <w:lvl w:ilvl="4">
      <w:start w:val="1"/>
      <w:numFmt w:val="bullet"/>
      <w:lvlText w:val="•"/>
      <w:lvlJc w:val="left"/>
      <w:pPr>
        <w:ind w:left="3518" w:hanging="358"/>
      </w:pPr>
      <w:rPr/>
    </w:lvl>
    <w:lvl w:ilvl="5">
      <w:start w:val="1"/>
      <w:numFmt w:val="bullet"/>
      <w:lvlText w:val="•"/>
      <w:lvlJc w:val="left"/>
      <w:pPr>
        <w:ind w:left="4539" w:hanging="358"/>
      </w:pPr>
      <w:rPr/>
    </w:lvl>
    <w:lvl w:ilvl="6">
      <w:start w:val="1"/>
      <w:numFmt w:val="bullet"/>
      <w:lvlText w:val="•"/>
      <w:lvlJc w:val="left"/>
      <w:pPr>
        <w:ind w:left="5559" w:hanging="358"/>
      </w:pPr>
      <w:rPr/>
    </w:lvl>
    <w:lvl w:ilvl="7">
      <w:start w:val="1"/>
      <w:numFmt w:val="bullet"/>
      <w:lvlText w:val="•"/>
      <w:lvlJc w:val="left"/>
      <w:pPr>
        <w:ind w:left="6579" w:hanging="358"/>
      </w:pPr>
      <w:rPr/>
    </w:lvl>
    <w:lvl w:ilvl="8">
      <w:start w:val="1"/>
      <w:numFmt w:val="bullet"/>
      <w:lvlText w:val="•"/>
      <w:lvlJc w:val="left"/>
      <w:pPr>
        <w:ind w:left="7599" w:hanging="358"/>
      </w:pPr>
      <w:rPr/>
    </w:lvl>
  </w:abstractNum>
  <w:abstractNum w:abstractNumId="5">
    <w:lvl w:ilvl="0">
      <w:start w:val="1"/>
      <w:numFmt w:val="decimal"/>
      <w:lvlText w:val="%1."/>
      <w:lvlJc w:val="left"/>
      <w:pPr>
        <w:ind w:left="280" w:hanging="180"/>
      </w:pPr>
      <w:rPr>
        <w:rFonts w:ascii="Arial" w:cs="Arial" w:eastAsia="Arial" w:hAnsi="Arial"/>
        <w:sz w:val="21"/>
        <w:szCs w:val="21"/>
      </w:rPr>
    </w:lvl>
    <w:lvl w:ilvl="1">
      <w:start w:val="1"/>
      <w:numFmt w:val="decimal"/>
      <w:lvlText w:val="%1.%2"/>
      <w:lvlJc w:val="left"/>
      <w:pPr>
        <w:ind w:left="792" w:hanging="692"/>
      </w:pPr>
      <w:rPr>
        <w:rFonts w:ascii="Arial" w:cs="Arial" w:eastAsia="Arial" w:hAnsi="Arial"/>
        <w:sz w:val="21"/>
        <w:szCs w:val="21"/>
      </w:rPr>
    </w:lvl>
    <w:lvl w:ilvl="2">
      <w:start w:val="1"/>
      <w:numFmt w:val="bullet"/>
      <w:lvlText w:val="•"/>
      <w:lvlJc w:val="left"/>
      <w:pPr>
        <w:ind w:left="792" w:hanging="692"/>
      </w:pPr>
      <w:rPr/>
    </w:lvl>
    <w:lvl w:ilvl="3">
      <w:start w:val="1"/>
      <w:numFmt w:val="bullet"/>
      <w:lvlText w:val="•"/>
      <w:lvlJc w:val="left"/>
      <w:pPr>
        <w:ind w:left="1898" w:hanging="692"/>
      </w:pPr>
      <w:rPr/>
    </w:lvl>
    <w:lvl w:ilvl="4">
      <w:start w:val="1"/>
      <w:numFmt w:val="bullet"/>
      <w:lvlText w:val="•"/>
      <w:lvlJc w:val="left"/>
      <w:pPr>
        <w:ind w:left="3004" w:hanging="692"/>
      </w:pPr>
      <w:rPr/>
    </w:lvl>
    <w:lvl w:ilvl="5">
      <w:start w:val="1"/>
      <w:numFmt w:val="bullet"/>
      <w:lvlText w:val="•"/>
      <w:lvlJc w:val="left"/>
      <w:pPr>
        <w:ind w:left="4110" w:hanging="692"/>
      </w:pPr>
      <w:rPr/>
    </w:lvl>
    <w:lvl w:ilvl="6">
      <w:start w:val="1"/>
      <w:numFmt w:val="bullet"/>
      <w:lvlText w:val="•"/>
      <w:lvlJc w:val="left"/>
      <w:pPr>
        <w:ind w:left="5216" w:hanging="692"/>
      </w:pPr>
      <w:rPr/>
    </w:lvl>
    <w:lvl w:ilvl="7">
      <w:start w:val="1"/>
      <w:numFmt w:val="bullet"/>
      <w:lvlText w:val="•"/>
      <w:lvlJc w:val="left"/>
      <w:pPr>
        <w:ind w:left="6322" w:hanging="692"/>
      </w:pPr>
      <w:rPr/>
    </w:lvl>
    <w:lvl w:ilvl="8">
      <w:start w:val="1"/>
      <w:numFmt w:val="bullet"/>
      <w:lvlText w:val="•"/>
      <w:lvlJc w:val="left"/>
      <w:pPr>
        <w:ind w:left="7428" w:hanging="692.0000000000009"/>
      </w:pPr>
      <w:rPr/>
    </w:lvl>
  </w:abstractNum>
  <w:abstractNum w:abstractNumId="6">
    <w:lvl w:ilvl="0">
      <w:start w:val="1"/>
      <w:numFmt w:val="decimal"/>
      <w:lvlText w:val="(%1)"/>
      <w:lvlJc w:val="left"/>
      <w:pPr>
        <w:ind w:left="762" w:hanging="300"/>
      </w:pPr>
      <w:rPr>
        <w:rFonts w:ascii="Arial" w:cs="Arial" w:eastAsia="Arial" w:hAnsi="Arial"/>
        <w:b w:val="1"/>
        <w:sz w:val="13"/>
        <w:szCs w:val="13"/>
      </w:rPr>
    </w:lvl>
    <w:lvl w:ilvl="1">
      <w:start w:val="1"/>
      <w:numFmt w:val="bullet"/>
      <w:lvlText w:val="•"/>
      <w:lvlJc w:val="left"/>
      <w:pPr>
        <w:ind w:left="1602" w:hanging="300"/>
      </w:pPr>
      <w:rPr/>
    </w:lvl>
    <w:lvl w:ilvl="2">
      <w:start w:val="1"/>
      <w:numFmt w:val="bullet"/>
      <w:lvlText w:val="•"/>
      <w:lvlJc w:val="left"/>
      <w:pPr>
        <w:ind w:left="2441" w:hanging="300"/>
      </w:pPr>
      <w:rPr/>
    </w:lvl>
    <w:lvl w:ilvl="3">
      <w:start w:val="1"/>
      <w:numFmt w:val="bullet"/>
      <w:lvlText w:val="•"/>
      <w:lvlJc w:val="left"/>
      <w:pPr>
        <w:ind w:left="3281" w:hanging="300"/>
      </w:pPr>
      <w:rPr/>
    </w:lvl>
    <w:lvl w:ilvl="4">
      <w:start w:val="1"/>
      <w:numFmt w:val="bullet"/>
      <w:lvlText w:val="•"/>
      <w:lvlJc w:val="left"/>
      <w:pPr>
        <w:ind w:left="4121" w:hanging="300"/>
      </w:pPr>
      <w:rPr/>
    </w:lvl>
    <w:lvl w:ilvl="5">
      <w:start w:val="1"/>
      <w:numFmt w:val="bullet"/>
      <w:lvlText w:val="•"/>
      <w:lvlJc w:val="left"/>
      <w:pPr>
        <w:ind w:left="4961" w:hanging="300"/>
      </w:pPr>
      <w:rPr/>
    </w:lvl>
    <w:lvl w:ilvl="6">
      <w:start w:val="1"/>
      <w:numFmt w:val="bullet"/>
      <w:lvlText w:val="•"/>
      <w:lvlJc w:val="left"/>
      <w:pPr>
        <w:ind w:left="5800" w:hanging="300"/>
      </w:pPr>
      <w:rPr/>
    </w:lvl>
    <w:lvl w:ilvl="7">
      <w:start w:val="1"/>
      <w:numFmt w:val="bullet"/>
      <w:lvlText w:val="•"/>
      <w:lvlJc w:val="left"/>
      <w:pPr>
        <w:ind w:left="6640" w:hanging="300"/>
      </w:pPr>
      <w:rPr/>
    </w:lvl>
    <w:lvl w:ilvl="8">
      <w:start w:val="1"/>
      <w:numFmt w:val="bullet"/>
      <w:lvlText w:val="•"/>
      <w:lvlJc w:val="left"/>
      <w:pPr>
        <w:ind w:left="7480" w:hanging="300"/>
      </w:pPr>
      <w:rPr/>
    </w:lvl>
  </w:abstractNum>
  <w:abstractNum w:abstractNumId="7">
    <w:lvl w:ilvl="0">
      <w:start w:val="1"/>
      <w:numFmt w:val="decimal"/>
      <w:lvlText w:val="%1)"/>
      <w:lvlJc w:val="left"/>
      <w:pPr>
        <w:ind w:left="451" w:hanging="351"/>
      </w:pPr>
      <w:rPr>
        <w:rFonts w:ascii="Arial" w:cs="Arial" w:eastAsia="Arial" w:hAnsi="Arial"/>
        <w:sz w:val="21"/>
        <w:szCs w:val="21"/>
      </w:rPr>
    </w:lvl>
    <w:lvl w:ilvl="1">
      <w:start w:val="1"/>
      <w:numFmt w:val="bullet"/>
      <w:lvlText w:val="•"/>
      <w:lvlJc w:val="left"/>
      <w:pPr>
        <w:ind w:left="1370" w:hanging="351"/>
      </w:pPr>
      <w:rPr/>
    </w:lvl>
    <w:lvl w:ilvl="2">
      <w:start w:val="1"/>
      <w:numFmt w:val="bullet"/>
      <w:lvlText w:val="•"/>
      <w:lvlJc w:val="left"/>
      <w:pPr>
        <w:ind w:left="2288" w:hanging="350"/>
      </w:pPr>
      <w:rPr/>
    </w:lvl>
    <w:lvl w:ilvl="3">
      <w:start w:val="1"/>
      <w:numFmt w:val="bullet"/>
      <w:lvlText w:val="•"/>
      <w:lvlJc w:val="left"/>
      <w:pPr>
        <w:ind w:left="3207" w:hanging="351.00000000000045"/>
      </w:pPr>
      <w:rPr/>
    </w:lvl>
    <w:lvl w:ilvl="4">
      <w:start w:val="1"/>
      <w:numFmt w:val="bullet"/>
      <w:lvlText w:val="•"/>
      <w:lvlJc w:val="left"/>
      <w:pPr>
        <w:ind w:left="4126" w:hanging="351"/>
      </w:pPr>
      <w:rPr/>
    </w:lvl>
    <w:lvl w:ilvl="5">
      <w:start w:val="1"/>
      <w:numFmt w:val="bullet"/>
      <w:lvlText w:val="•"/>
      <w:lvlJc w:val="left"/>
      <w:pPr>
        <w:ind w:left="5045" w:hanging="351"/>
      </w:pPr>
      <w:rPr/>
    </w:lvl>
    <w:lvl w:ilvl="6">
      <w:start w:val="1"/>
      <w:numFmt w:val="bullet"/>
      <w:lvlText w:val="•"/>
      <w:lvlJc w:val="left"/>
      <w:pPr>
        <w:ind w:left="5964" w:hanging="351"/>
      </w:pPr>
      <w:rPr/>
    </w:lvl>
    <w:lvl w:ilvl="7">
      <w:start w:val="1"/>
      <w:numFmt w:val="bullet"/>
      <w:lvlText w:val="•"/>
      <w:lvlJc w:val="left"/>
      <w:pPr>
        <w:ind w:left="6883" w:hanging="351.0000000000009"/>
      </w:pPr>
      <w:rPr/>
    </w:lvl>
    <w:lvl w:ilvl="8">
      <w:start w:val="1"/>
      <w:numFmt w:val="bullet"/>
      <w:lvlText w:val="•"/>
      <w:lvlJc w:val="left"/>
      <w:pPr>
        <w:ind w:left="7802" w:hanging="351"/>
      </w:pPr>
      <w:rPr/>
    </w:lvl>
  </w:abstractNum>
  <w:abstractNum w:abstractNumId="8">
    <w:lvl w:ilvl="0">
      <w:start w:val="1"/>
      <w:numFmt w:val="lowerLetter"/>
      <w:lvlText w:val="%1)"/>
      <w:lvlJc w:val="left"/>
      <w:pPr>
        <w:ind w:left="451" w:hanging="351"/>
      </w:pPr>
      <w:rPr>
        <w:rFonts w:ascii="Arial" w:cs="Arial" w:eastAsia="Arial" w:hAnsi="Arial"/>
        <w:sz w:val="21"/>
        <w:szCs w:val="21"/>
      </w:rPr>
    </w:lvl>
    <w:lvl w:ilvl="1">
      <w:start w:val="1"/>
      <w:numFmt w:val="bullet"/>
      <w:lvlText w:val="•"/>
      <w:lvlJc w:val="left"/>
      <w:pPr>
        <w:ind w:left="1370" w:hanging="351"/>
      </w:pPr>
      <w:rPr/>
    </w:lvl>
    <w:lvl w:ilvl="2">
      <w:start w:val="1"/>
      <w:numFmt w:val="bullet"/>
      <w:lvlText w:val="•"/>
      <w:lvlJc w:val="left"/>
      <w:pPr>
        <w:ind w:left="2288" w:hanging="350"/>
      </w:pPr>
      <w:rPr/>
    </w:lvl>
    <w:lvl w:ilvl="3">
      <w:start w:val="1"/>
      <w:numFmt w:val="bullet"/>
      <w:lvlText w:val="•"/>
      <w:lvlJc w:val="left"/>
      <w:pPr>
        <w:ind w:left="3207" w:hanging="351.00000000000045"/>
      </w:pPr>
      <w:rPr/>
    </w:lvl>
    <w:lvl w:ilvl="4">
      <w:start w:val="1"/>
      <w:numFmt w:val="bullet"/>
      <w:lvlText w:val="•"/>
      <w:lvlJc w:val="left"/>
      <w:pPr>
        <w:ind w:left="4126" w:hanging="351"/>
      </w:pPr>
      <w:rPr/>
    </w:lvl>
    <w:lvl w:ilvl="5">
      <w:start w:val="1"/>
      <w:numFmt w:val="bullet"/>
      <w:lvlText w:val="•"/>
      <w:lvlJc w:val="left"/>
      <w:pPr>
        <w:ind w:left="5045" w:hanging="351"/>
      </w:pPr>
      <w:rPr/>
    </w:lvl>
    <w:lvl w:ilvl="6">
      <w:start w:val="1"/>
      <w:numFmt w:val="bullet"/>
      <w:lvlText w:val="•"/>
      <w:lvlJc w:val="left"/>
      <w:pPr>
        <w:ind w:left="5964" w:hanging="351"/>
      </w:pPr>
      <w:rPr/>
    </w:lvl>
    <w:lvl w:ilvl="7">
      <w:start w:val="1"/>
      <w:numFmt w:val="bullet"/>
      <w:lvlText w:val="•"/>
      <w:lvlJc w:val="left"/>
      <w:pPr>
        <w:ind w:left="6883" w:hanging="351.0000000000009"/>
      </w:pPr>
      <w:rPr/>
    </w:lvl>
    <w:lvl w:ilvl="8">
      <w:start w:val="1"/>
      <w:numFmt w:val="bullet"/>
      <w:lvlText w:val="•"/>
      <w:lvlJc w:val="left"/>
      <w:pPr>
        <w:ind w:left="7802" w:hanging="35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hanging="358"/>
    </w:pPr>
    <w:rPr>
      <w:rFonts w:ascii="Arial" w:cs="Arial" w:eastAsia="Arial" w:hAnsi="Arial"/>
      <w:b w:val="1"/>
      <w:sz w:val="21"/>
      <w:szCs w:val="2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Ttulo1">
    <w:name w:val="heading 1"/>
    <w:basedOn w:val="Normal"/>
    <w:uiPriority w:val="1"/>
    <w:qFormat w:val="1"/>
    <w:pPr>
      <w:ind w:left="100" w:hanging="358"/>
      <w:outlineLvl w:val="0"/>
    </w:pPr>
    <w:rPr>
      <w:rFonts w:ascii="Arial" w:eastAsia="Arial" w:hAnsi="Arial"/>
      <w:b w:val="1"/>
      <w:bCs w:val="1"/>
      <w:sz w:val="21"/>
      <w:szCs w:val="21"/>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pPr>
      <w:ind w:left="451" w:hanging="351"/>
    </w:pPr>
    <w:rPr>
      <w:rFonts w:ascii="Arial" w:eastAsia="Arial" w:hAnsi="Arial"/>
      <w:sz w:val="21"/>
      <w:szCs w:val="21"/>
    </w:rPr>
  </w:style>
  <w:style w:type="paragraph" w:styleId="Prrafodelista">
    <w:name w:val="List Paragraph"/>
    <w:basedOn w:val="Normal"/>
    <w:uiPriority w:val="1"/>
    <w:qFormat w:val="1"/>
  </w:style>
  <w:style w:type="paragraph" w:styleId="TableParagraph" w:customStyle="1">
    <w:name w:val="Table Paragraph"/>
    <w:basedOn w:val="Normal"/>
    <w:uiPriority w:val="1"/>
    <w:qFormat w:val="1"/>
  </w:style>
  <w:style w:type="paragraph" w:styleId="Encabezado">
    <w:name w:val="header"/>
    <w:basedOn w:val="Normal"/>
    <w:link w:val="EncabezadoCar"/>
    <w:uiPriority w:val="99"/>
    <w:unhideWhenUsed w:val="1"/>
    <w:rsid w:val="00373F35"/>
    <w:pPr>
      <w:tabs>
        <w:tab w:val="center" w:pos="4252"/>
        <w:tab w:val="right" w:pos="8504"/>
      </w:tabs>
    </w:pPr>
  </w:style>
  <w:style w:type="character" w:styleId="EncabezadoCar" w:customStyle="1">
    <w:name w:val="Encabezado Car"/>
    <w:basedOn w:val="Fuentedeprrafopredeter"/>
    <w:link w:val="Encabezado"/>
    <w:uiPriority w:val="99"/>
    <w:rsid w:val="00373F35"/>
  </w:style>
  <w:style w:type="paragraph" w:styleId="Piedepgina">
    <w:name w:val="footer"/>
    <w:basedOn w:val="Normal"/>
    <w:link w:val="PiedepginaCar"/>
    <w:uiPriority w:val="99"/>
    <w:unhideWhenUsed w:val="1"/>
    <w:rsid w:val="00373F35"/>
    <w:pPr>
      <w:tabs>
        <w:tab w:val="center" w:pos="4252"/>
        <w:tab w:val="right" w:pos="8504"/>
      </w:tabs>
    </w:pPr>
  </w:style>
  <w:style w:type="character" w:styleId="PiedepginaCar" w:customStyle="1">
    <w:name w:val="Pie de página Car"/>
    <w:basedOn w:val="Fuentedeprrafopredeter"/>
    <w:link w:val="Piedepgina"/>
    <w:uiPriority w:val="99"/>
    <w:rsid w:val="00373F35"/>
  </w:style>
  <w:style w:type="paragraph" w:styleId="Textodeglobo">
    <w:name w:val="Balloon Text"/>
    <w:basedOn w:val="Normal"/>
    <w:link w:val="TextodegloboCar"/>
    <w:uiPriority w:val="99"/>
    <w:semiHidden w:val="1"/>
    <w:unhideWhenUsed w:val="1"/>
    <w:rsid w:val="00D75407"/>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D75407"/>
    <w:rPr>
      <w:rFonts w:ascii="Segoe UI" w:cs="Segoe UI" w:hAnsi="Segoe UI"/>
      <w:sz w:val="18"/>
      <w:szCs w:val="18"/>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4"/>
    <w:tblPr>
      <w:tblStyleRowBandSize w:val="1"/>
      <w:tblStyleColBandSize w:val="1"/>
    </w:tblPr>
  </w:style>
  <w:style w:type="table" w:styleId="a0" w:customStyle="1">
    <w:basedOn w:val="TableNormal4"/>
    <w:tblPr>
      <w:tblStyleRowBandSize w:val="1"/>
      <w:tblStyleColBandSize w:val="1"/>
      <w:tblCellMar>
        <w:left w:w="70.0" w:type="dxa"/>
        <w:right w:w="70.0" w:type="dxa"/>
      </w:tblCellMar>
    </w:tblPr>
  </w:style>
  <w:style w:type="table" w:styleId="a1" w:customStyle="1">
    <w:basedOn w:val="TableNormal4"/>
    <w:tblPr>
      <w:tblStyleRowBandSize w:val="1"/>
      <w:tblStyleColBandSize w:val="1"/>
      <w:tblCellMar>
        <w:left w:w="70.0" w:type="dxa"/>
        <w:right w:w="70.0" w:type="dxa"/>
      </w:tblCellMar>
    </w:tblPr>
  </w:style>
  <w:style w:type="table" w:styleId="a2" w:customStyle="1">
    <w:basedOn w:val="TableNormal4"/>
    <w:tblPr>
      <w:tblStyleRowBandSize w:val="1"/>
      <w:tblStyleColBandSize w:val="1"/>
      <w:tblCellMar>
        <w:left w:w="70.0" w:type="dxa"/>
        <w:right w:w="70.0" w:type="dxa"/>
      </w:tblCellMar>
    </w:tblPr>
  </w:style>
  <w:style w:type="table" w:styleId="a3" w:customStyle="1">
    <w:basedOn w:val="TableNormal4"/>
    <w:tblPr>
      <w:tblStyleRowBandSize w:val="1"/>
      <w:tblStyleColBandSize w:val="1"/>
      <w:tblCellMar>
        <w:left w:w="70.0" w:type="dxa"/>
        <w:right w:w="70.0" w:type="dxa"/>
      </w:tblCellMar>
    </w:tblPr>
  </w:style>
  <w:style w:type="table" w:styleId="a4" w:customStyle="1">
    <w:basedOn w:val="TableNormal4"/>
    <w:tblPr>
      <w:tblStyleRowBandSize w:val="1"/>
      <w:tblStyleColBandSize w:val="1"/>
      <w:tblCellMar>
        <w:left w:w="70.0" w:type="dxa"/>
        <w:right w:w="70.0" w:type="dxa"/>
      </w:tblCellMar>
    </w:tblPr>
  </w:style>
  <w:style w:type="table" w:styleId="a5" w:customStyle="1">
    <w:basedOn w:val="TableNormal4"/>
    <w:tblPr>
      <w:tblStyleRowBandSize w:val="1"/>
      <w:tblStyleColBandSize w:val="1"/>
      <w:tblCellMar>
        <w:left w:w="70.0" w:type="dxa"/>
        <w:right w:w="70.0" w:type="dxa"/>
      </w:tblCellMar>
    </w:tblPr>
  </w:style>
  <w:style w:type="table" w:styleId="a6" w:customStyle="1">
    <w:basedOn w:val="TableNormal4"/>
    <w:tblPr>
      <w:tblStyleRowBandSize w:val="1"/>
      <w:tblStyleColBandSize w:val="1"/>
      <w:tblCellMar>
        <w:left w:w="70.0" w:type="dxa"/>
        <w:right w:w="70.0" w:type="dxa"/>
      </w:tblCellMar>
    </w:tblPr>
  </w:style>
  <w:style w:type="table" w:styleId="a7" w:customStyle="1">
    <w:basedOn w:val="TableNormal4"/>
    <w:tblPr>
      <w:tblStyleRowBandSize w:val="1"/>
      <w:tblStyleColBandSize w:val="1"/>
      <w:tblCellMar>
        <w:left w:w="70.0" w:type="dxa"/>
        <w:right w:w="70.0" w:type="dxa"/>
      </w:tblCellMar>
    </w:tblPr>
  </w:style>
  <w:style w:type="table" w:styleId="a8" w:customStyle="1">
    <w:basedOn w:val="TableNormal4"/>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LwZzKW0g2mx8IdJ8Pl7CL0ODoA==">AMUW2mXbqiGhSSq6Gg81iv421vkDBQbGbFd15vyuI25dT3Je8bkXaQ6jd5WrqXmXc9r/kDs8y4SavvB6yRPu3R4pEROQYF9J04GqB+aCtWSDWldsQP3SwgxUFmfNkymMOMcCCPQcYrDkvrgi2ugVACK86CvMvGTzv1opZSO8r1GR7ruAgOZsAdNcEOzKrDAY4ZbGLFAggsotEhdqsSVKHA/3/Vu+VcGvrqbdgQg6QqwgFtGx1x5cEBrDAO+PrYS1WshO070qWuJZ4O6NfgcXYBg53p1xNYyDjr4GAUKB0T0Ho+T6J+IxhKEGlR57rzwxEkR7PrUKIyD+2pMwTYPIeLp2I+3je2ZAEb3LMnHYFyOwbvVCJCTl3CnBSVPHXw6SLMM0vdbU4GyRz8ctrHEtZRBaAUXB9tFG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2021-05-21T14:02:00Z</dcterms:created>
  <dc:creator>P008000</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LastSaved">
    <vt:filetime>2019-08-26T00:00:00Z</vt:filetime>
  </property>
</Properties>
</file>